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615F" w14:textId="77777777" w:rsidR="000B1FDE" w:rsidRPr="00D04789" w:rsidRDefault="000B1FDE" w:rsidP="000B1F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4789">
        <w:rPr>
          <w:rFonts w:ascii="Arial" w:hAnsi="Arial" w:cs="Arial"/>
          <w:b/>
          <w:sz w:val="24"/>
          <w:szCs w:val="24"/>
        </w:rPr>
        <w:t>South Gloucestershire Council</w:t>
      </w:r>
      <w:r w:rsidRPr="00D04789">
        <w:rPr>
          <w:rFonts w:ascii="Arial" w:hAnsi="Arial" w:cs="Arial"/>
          <w:b/>
          <w:sz w:val="24"/>
          <w:szCs w:val="24"/>
        </w:rPr>
        <w:br/>
        <w:t>Pharmaceutical Needs Assessment Supplementary Statement</w:t>
      </w:r>
    </w:p>
    <w:p w14:paraId="115D6AF5" w14:textId="77777777" w:rsidR="00535915" w:rsidRPr="00D04789" w:rsidRDefault="00535915" w:rsidP="00535915">
      <w:pPr>
        <w:rPr>
          <w:rFonts w:ascii="Arial" w:hAnsi="Arial" w:cs="Arial"/>
          <w:b/>
          <w:sz w:val="24"/>
          <w:szCs w:val="24"/>
        </w:rPr>
      </w:pPr>
    </w:p>
    <w:p w14:paraId="47DCECC7" w14:textId="77777777" w:rsidR="00141321" w:rsidRDefault="00535915" w:rsidP="00302E6A">
      <w:pPr>
        <w:rPr>
          <w:rFonts w:ascii="Arial" w:hAnsi="Arial" w:cs="Arial"/>
          <w:sz w:val="24"/>
          <w:szCs w:val="24"/>
        </w:rPr>
      </w:pPr>
      <w:r w:rsidRPr="00D04789">
        <w:rPr>
          <w:rFonts w:ascii="Arial" w:hAnsi="Arial" w:cs="Arial"/>
          <w:sz w:val="24"/>
          <w:szCs w:val="24"/>
        </w:rPr>
        <w:t xml:space="preserve">This supplementary statement has been prepared and issued by </w:t>
      </w:r>
      <w:r w:rsidR="00302E6A" w:rsidRPr="00D04789">
        <w:rPr>
          <w:rFonts w:ascii="Arial" w:hAnsi="Arial" w:cs="Arial"/>
          <w:sz w:val="24"/>
          <w:szCs w:val="24"/>
        </w:rPr>
        <w:t>the Director of Public Health on behalf of the Health and Wellbeing Board</w:t>
      </w:r>
      <w:r w:rsidRPr="00D04789">
        <w:rPr>
          <w:rFonts w:ascii="Arial" w:hAnsi="Arial" w:cs="Arial"/>
          <w:sz w:val="24"/>
          <w:szCs w:val="24"/>
        </w:rPr>
        <w:t xml:space="preserve"> </w:t>
      </w:r>
      <w:r w:rsidR="00F40A93" w:rsidRPr="00D04789">
        <w:rPr>
          <w:rFonts w:ascii="Arial" w:hAnsi="Arial" w:cs="Arial"/>
          <w:sz w:val="24"/>
          <w:szCs w:val="24"/>
        </w:rPr>
        <w:t xml:space="preserve">of South Gloucestershire </w:t>
      </w:r>
      <w:r w:rsidRPr="00D04789">
        <w:rPr>
          <w:rFonts w:ascii="Arial" w:hAnsi="Arial" w:cs="Arial"/>
          <w:sz w:val="24"/>
          <w:szCs w:val="24"/>
        </w:rPr>
        <w:t xml:space="preserve">and forms part of the Pharmaceutical Needs Assessment. </w:t>
      </w:r>
    </w:p>
    <w:p w14:paraId="01747BD8" w14:textId="77777777" w:rsidR="00ED57DB" w:rsidRPr="002D422A" w:rsidRDefault="00302E6A" w:rsidP="00302E6A">
      <w:pPr>
        <w:rPr>
          <w:rFonts w:ascii="Arial" w:hAnsi="Arial" w:cs="Arial"/>
          <w:sz w:val="24"/>
          <w:szCs w:val="24"/>
        </w:rPr>
      </w:pPr>
      <w:r w:rsidRPr="002D422A">
        <w:rPr>
          <w:rFonts w:ascii="Arial" w:hAnsi="Arial" w:cs="Arial"/>
          <w:sz w:val="24"/>
          <w:szCs w:val="24"/>
        </w:rPr>
        <w:t xml:space="preserve">This  supplementary  statement  to  is issued  in  accordance  with  </w:t>
      </w:r>
      <w:r w:rsidR="002D422A" w:rsidRPr="002D422A">
        <w:rPr>
          <w:rFonts w:ascii="Arial" w:eastAsia="Times New Roman" w:hAnsi="Arial" w:cs="Arial"/>
          <w:sz w:val="24"/>
          <w:szCs w:val="24"/>
        </w:rPr>
        <w:t>Reg 6(3) of the NHS (Pharmaceutical and Local Pharmaceutical Services) Regulations 2013.</w:t>
      </w:r>
    </w:p>
    <w:p w14:paraId="16C8222C" w14:textId="72474D31" w:rsidR="0050474E" w:rsidRPr="0050474E" w:rsidRDefault="0050474E" w:rsidP="0050474E">
      <w:pPr>
        <w:rPr>
          <w:rFonts w:ascii="Arial" w:hAnsi="Arial" w:cs="Arial"/>
          <w:color w:val="000000" w:themeColor="text1"/>
          <w:sz w:val="24"/>
          <w:szCs w:val="24"/>
        </w:rPr>
      </w:pPr>
      <w:r w:rsidRPr="0050474E">
        <w:rPr>
          <w:rFonts w:ascii="Arial" w:hAnsi="Arial" w:cs="Arial"/>
          <w:color w:val="000000" w:themeColor="text1"/>
          <w:sz w:val="24"/>
          <w:szCs w:val="24"/>
        </w:rPr>
        <w:t xml:space="preserve">It is the view of the South Gloucestershire Health and Wellbeing Board that the changes to the availability of pharmaceutical services are relevant to the granting of applications and is satisfied that a revised Pharmaceutical Needs Assessment (PNA) would be a disproportionate response. It should be noted that the PNA as a whole is in the process of being refreshed and the updated version will be published </w:t>
      </w:r>
      <w:proofErr w:type="gramStart"/>
      <w:r w:rsidRPr="0050474E">
        <w:rPr>
          <w:rFonts w:ascii="Arial" w:hAnsi="Arial" w:cs="Arial"/>
          <w:color w:val="000000" w:themeColor="text1"/>
          <w:sz w:val="24"/>
          <w:szCs w:val="24"/>
        </w:rPr>
        <w:t>Spring</w:t>
      </w:r>
      <w:proofErr w:type="gramEnd"/>
      <w:r w:rsidRPr="0050474E">
        <w:rPr>
          <w:rFonts w:ascii="Arial" w:hAnsi="Arial" w:cs="Arial"/>
          <w:color w:val="000000" w:themeColor="text1"/>
          <w:sz w:val="24"/>
          <w:szCs w:val="24"/>
        </w:rPr>
        <w:t xml:space="preserve"> 2018, overseen by the Health &amp; Wellbeing Board.</w:t>
      </w:r>
    </w:p>
    <w:p w14:paraId="10D032D1" w14:textId="77777777" w:rsidR="00141321" w:rsidRPr="00D04789" w:rsidRDefault="00141321" w:rsidP="0030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21626" w:rsidRPr="00D04789" w14:paraId="531FC409" w14:textId="77777777" w:rsidTr="00ED57DB">
        <w:tc>
          <w:tcPr>
            <w:tcW w:w="5949" w:type="dxa"/>
          </w:tcPr>
          <w:p w14:paraId="1E3A4522" w14:textId="77777777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Date Pharmaceutical Needs Assessment Published:</w:t>
            </w:r>
          </w:p>
        </w:tc>
        <w:tc>
          <w:tcPr>
            <w:tcW w:w="3067" w:type="dxa"/>
          </w:tcPr>
          <w:p w14:paraId="3C7AEE96" w14:textId="77777777" w:rsidR="00521626" w:rsidRPr="00D04789" w:rsidRDefault="008667B2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February 2015</w:t>
            </w:r>
          </w:p>
        </w:tc>
      </w:tr>
      <w:tr w:rsidR="00521626" w:rsidRPr="00D04789" w14:paraId="76E3463A" w14:textId="77777777" w:rsidTr="00ED57DB">
        <w:tc>
          <w:tcPr>
            <w:tcW w:w="5949" w:type="dxa"/>
          </w:tcPr>
          <w:p w14:paraId="04B07B6B" w14:textId="77777777"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Date Supplementary Statement Published </w:t>
            </w:r>
          </w:p>
        </w:tc>
        <w:tc>
          <w:tcPr>
            <w:tcW w:w="3067" w:type="dxa"/>
          </w:tcPr>
          <w:p w14:paraId="017B6BCD" w14:textId="32651ACC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626" w:rsidRPr="00D04789" w14:paraId="176A5987" w14:textId="77777777" w:rsidTr="00ED57DB">
        <w:trPr>
          <w:trHeight w:val="77"/>
        </w:trPr>
        <w:tc>
          <w:tcPr>
            <w:tcW w:w="5949" w:type="dxa"/>
          </w:tcPr>
          <w:p w14:paraId="080A061A" w14:textId="77777777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Supplementary Statement Number: </w:t>
            </w:r>
          </w:p>
        </w:tc>
        <w:tc>
          <w:tcPr>
            <w:tcW w:w="3067" w:type="dxa"/>
          </w:tcPr>
          <w:p w14:paraId="0398C92C" w14:textId="6BC1DCF9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960E3" w14:textId="69AB2BE5" w:rsidR="00521626" w:rsidRPr="00E158A4" w:rsidRDefault="00EC37D5" w:rsidP="000B1F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E158A4">
        <w:rPr>
          <w:rFonts w:ascii="Arial" w:hAnsi="Arial" w:cs="Arial"/>
          <w:b/>
          <w:sz w:val="28"/>
          <w:szCs w:val="28"/>
          <w:u w:val="single"/>
        </w:rPr>
        <w:t>Update 1</w:t>
      </w:r>
    </w:p>
    <w:p w14:paraId="2B06E44B" w14:textId="77777777" w:rsidR="00521626" w:rsidRPr="00D04789" w:rsidRDefault="00521626" w:rsidP="000B1FDE">
      <w:pPr>
        <w:rPr>
          <w:rFonts w:ascii="Arial" w:hAnsi="Arial" w:cs="Arial"/>
          <w:b/>
          <w:sz w:val="24"/>
          <w:szCs w:val="24"/>
        </w:rPr>
      </w:pPr>
      <w:r w:rsidRPr="00D04789">
        <w:rPr>
          <w:rFonts w:ascii="Arial" w:hAnsi="Arial" w:cs="Arial"/>
          <w:b/>
          <w:sz w:val="24"/>
          <w:szCs w:val="24"/>
        </w:rPr>
        <w:t>Type of change</w:t>
      </w:r>
    </w:p>
    <w:p w14:paraId="0008C30F" w14:textId="772A3229" w:rsidR="00C00054" w:rsidRPr="00C012FD" w:rsidRDefault="00C00054" w:rsidP="00C01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B1F10" w:rsidRPr="00D04789" w14:paraId="470084BC" w14:textId="77777777" w:rsidTr="00EC37D5">
        <w:tc>
          <w:tcPr>
            <w:tcW w:w="5949" w:type="dxa"/>
          </w:tcPr>
          <w:p w14:paraId="23C9D61E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112802CF" w14:textId="074726A2" w:rsidR="007B1F10" w:rsidRPr="00D04789" w:rsidRDefault="007B1F10" w:rsidP="00514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4E3521FF" w14:textId="77777777" w:rsidTr="00EC37D5">
        <w:tc>
          <w:tcPr>
            <w:tcW w:w="5949" w:type="dxa"/>
          </w:tcPr>
          <w:p w14:paraId="79F0E959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2A34FF5B" w14:textId="77777777" w:rsidR="007B1F10" w:rsidRPr="00D04789" w:rsidRDefault="007B1F10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4D0D50C5" w14:textId="77777777" w:rsidTr="00EC37D5">
        <w:tc>
          <w:tcPr>
            <w:tcW w:w="5949" w:type="dxa"/>
          </w:tcPr>
          <w:p w14:paraId="6766089A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5064FB66" w14:textId="4AA09AC9" w:rsidR="007B1F10" w:rsidRPr="00D04789" w:rsidRDefault="00EC37D5" w:rsidP="007B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B1F10" w:rsidRPr="00D04789" w14:paraId="49B10A08" w14:textId="77777777" w:rsidTr="00EC37D5">
        <w:tc>
          <w:tcPr>
            <w:tcW w:w="5949" w:type="dxa"/>
          </w:tcPr>
          <w:p w14:paraId="12E071CE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477AB651" w14:textId="18255A19" w:rsidR="007B1F10" w:rsidRPr="00D04789" w:rsidRDefault="009A613E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B1F10" w:rsidRPr="00D04789" w14:paraId="566BD54A" w14:textId="77777777" w:rsidTr="00EC37D5">
        <w:tc>
          <w:tcPr>
            <w:tcW w:w="5949" w:type="dxa"/>
          </w:tcPr>
          <w:p w14:paraId="27DAAF1F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0B7D066A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09F54E5E" w14:textId="77777777" w:rsidTr="00EC37D5">
        <w:tc>
          <w:tcPr>
            <w:tcW w:w="5949" w:type="dxa"/>
          </w:tcPr>
          <w:p w14:paraId="01E26E59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6B00679" w14:textId="77777777" w:rsidR="007B1F10" w:rsidRPr="00D04789" w:rsidRDefault="007B1F10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C20AD" w14:textId="77777777" w:rsidR="007B1F10" w:rsidRDefault="007B1F10" w:rsidP="009F6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E4CFD" w14:textId="77777777" w:rsidR="009F6704" w:rsidRDefault="009F6704" w:rsidP="009F6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6FE66" w14:textId="473A06D8" w:rsidR="001F7E7D" w:rsidRPr="007A1B35" w:rsidRDefault="00EC37D5" w:rsidP="009F670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A1B35">
        <w:rPr>
          <w:rFonts w:ascii="Arial" w:hAnsi="Arial" w:cs="Arial"/>
          <w:b/>
          <w:bCs/>
          <w:color w:val="000000"/>
          <w:sz w:val="24"/>
          <w:szCs w:val="24"/>
        </w:rPr>
        <w:t>LLOYDS PHARMACY RELOCATING FROM 14 WEST WALK, YATE BS37 4AX TO COURTSIDE SURGERY</w:t>
      </w:r>
      <w:proofErr w:type="gramStart"/>
      <w:r w:rsidRPr="007A1B35">
        <w:rPr>
          <w:rFonts w:ascii="Arial" w:hAnsi="Arial" w:cs="Arial"/>
          <w:b/>
          <w:bCs/>
          <w:color w:val="000000"/>
          <w:sz w:val="24"/>
          <w:szCs w:val="24"/>
        </w:rPr>
        <w:t>,</w:t>
      </w:r>
      <w:proofErr w:type="gramEnd"/>
      <w:r w:rsidRPr="007A1B35">
        <w:rPr>
          <w:rFonts w:ascii="Arial" w:hAnsi="Arial" w:cs="Arial"/>
          <w:color w:val="000000"/>
          <w:sz w:val="24"/>
          <w:szCs w:val="24"/>
        </w:rPr>
        <w:br/>
      </w:r>
      <w:r w:rsidRPr="007A1B35">
        <w:rPr>
          <w:rFonts w:ascii="Arial" w:hAnsi="Arial" w:cs="Arial"/>
          <w:b/>
          <w:bCs/>
          <w:color w:val="000000"/>
          <w:sz w:val="24"/>
          <w:szCs w:val="24"/>
        </w:rPr>
        <w:t>KENNEDY WAY, YATE BS37 4DQ</w:t>
      </w:r>
      <w:r w:rsidR="009A613E" w:rsidRPr="007A1B35">
        <w:rPr>
          <w:rFonts w:ascii="Arial" w:hAnsi="Arial" w:cs="Arial"/>
          <w:b/>
          <w:bCs/>
          <w:color w:val="000000"/>
          <w:sz w:val="24"/>
          <w:szCs w:val="24"/>
        </w:rPr>
        <w:t xml:space="preserve"> – 15 February 2017</w:t>
      </w:r>
    </w:p>
    <w:p w14:paraId="6BFE2B73" w14:textId="77777777" w:rsidR="009A613E" w:rsidRDefault="009A613E" w:rsidP="009F6704">
      <w:pPr>
        <w:spacing w:after="0" w:line="240" w:lineRule="auto"/>
        <w:rPr>
          <w:b/>
          <w:bCs/>
          <w:color w:val="000000"/>
        </w:rPr>
      </w:pPr>
    </w:p>
    <w:p w14:paraId="10D5C7BA" w14:textId="21ED74F2" w:rsidR="009A613E" w:rsidRPr="007A1B35" w:rsidRDefault="009A613E" w:rsidP="009F6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B35">
        <w:rPr>
          <w:rFonts w:ascii="Arial" w:hAnsi="Arial" w:cs="Arial"/>
          <w:color w:val="000000"/>
          <w:sz w:val="24"/>
          <w:szCs w:val="24"/>
        </w:rPr>
        <w:t>Lloyds, Courtside Surgery</w:t>
      </w:r>
      <w:r w:rsidRPr="007A1B35">
        <w:rPr>
          <w:rFonts w:ascii="Arial" w:hAnsi="Arial" w:cs="Arial"/>
          <w:color w:val="000000"/>
          <w:sz w:val="24"/>
          <w:szCs w:val="24"/>
        </w:rPr>
        <w:br/>
      </w:r>
      <w:r w:rsidRPr="007A1B35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7A1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1B35">
        <w:rPr>
          <w:rFonts w:ascii="Arial" w:hAnsi="Arial" w:cs="Arial"/>
          <w:b/>
          <w:bCs/>
          <w:color w:val="000000"/>
          <w:sz w:val="24"/>
          <w:szCs w:val="24"/>
        </w:rPr>
        <w:t xml:space="preserve">change of opening hours </w:t>
      </w:r>
      <w:r w:rsidRPr="007A1B35">
        <w:rPr>
          <w:rFonts w:ascii="Arial" w:hAnsi="Arial" w:cs="Arial"/>
          <w:color w:val="000000"/>
          <w:sz w:val="24"/>
          <w:szCs w:val="24"/>
        </w:rPr>
        <w:t>to:</w:t>
      </w:r>
      <w:r w:rsidRPr="007A1B35">
        <w:rPr>
          <w:rFonts w:ascii="Arial" w:hAnsi="Arial" w:cs="Arial"/>
          <w:color w:val="000000"/>
          <w:sz w:val="24"/>
          <w:szCs w:val="24"/>
        </w:rPr>
        <w:br/>
      </w:r>
      <w:r w:rsidRPr="007A1B35">
        <w:rPr>
          <w:rFonts w:ascii="Arial" w:hAnsi="Arial" w:cs="Arial"/>
          <w:b/>
          <w:bCs/>
          <w:color w:val="000000"/>
          <w:sz w:val="24"/>
          <w:szCs w:val="24"/>
        </w:rPr>
        <w:t>Mon Tue Wed Thu Fri Sat Sun</w:t>
      </w:r>
      <w:r w:rsidRPr="007A1B35">
        <w:rPr>
          <w:rFonts w:ascii="Arial" w:hAnsi="Arial" w:cs="Arial"/>
          <w:color w:val="000000"/>
          <w:sz w:val="24"/>
          <w:szCs w:val="24"/>
        </w:rPr>
        <w:br/>
      </w:r>
      <w:r w:rsidRPr="007A1B35">
        <w:rPr>
          <w:rFonts w:ascii="Arial" w:hAnsi="Arial" w:cs="Arial"/>
          <w:b/>
          <w:bCs/>
          <w:color w:val="000000"/>
          <w:sz w:val="24"/>
          <w:szCs w:val="24"/>
        </w:rPr>
        <w:t>0800-2000 0800-2000 0800-1900 0800-2000 0800-1900 0900-1730 Closed</w:t>
      </w:r>
    </w:p>
    <w:p w14:paraId="3BEB3C90" w14:textId="14077378" w:rsidR="009F6704" w:rsidRDefault="009A613E" w:rsidP="009F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</w:p>
    <w:p w14:paraId="7CE58760" w14:textId="56BDB706" w:rsidR="009A613E" w:rsidRPr="009A613E" w:rsidRDefault="009A613E" w:rsidP="009F6704">
      <w:pPr>
        <w:rPr>
          <w:rFonts w:ascii="Arial" w:hAnsi="Arial" w:cs="Arial"/>
          <w:b/>
          <w:sz w:val="24"/>
          <w:szCs w:val="24"/>
        </w:rPr>
      </w:pPr>
      <w:r w:rsidRPr="00E158A4">
        <w:rPr>
          <w:rFonts w:ascii="Arial" w:hAnsi="Arial" w:cs="Arial"/>
          <w:b/>
          <w:sz w:val="28"/>
          <w:szCs w:val="28"/>
          <w:u w:val="single"/>
        </w:rPr>
        <w:t>Update 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04789">
        <w:rPr>
          <w:rFonts w:ascii="Arial" w:hAnsi="Arial" w:cs="Arial"/>
          <w:b/>
          <w:sz w:val="24"/>
          <w:szCs w:val="24"/>
        </w:rP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F6704" w:rsidRPr="00D04789" w14:paraId="14B6A109" w14:textId="77777777" w:rsidTr="00EC37D5">
        <w:tc>
          <w:tcPr>
            <w:tcW w:w="5949" w:type="dxa"/>
          </w:tcPr>
          <w:p w14:paraId="4A7F477D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0FE664D3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875F476" w14:textId="77777777" w:rsidTr="00EC37D5">
        <w:tc>
          <w:tcPr>
            <w:tcW w:w="5949" w:type="dxa"/>
          </w:tcPr>
          <w:p w14:paraId="3D4C9A74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3ECE3938" w14:textId="676B4CAD" w:rsidR="009F6704" w:rsidRPr="00D04789" w:rsidRDefault="00E158A4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6704" w:rsidRPr="00D04789" w14:paraId="024606F8" w14:textId="77777777" w:rsidTr="00EC37D5">
        <w:tc>
          <w:tcPr>
            <w:tcW w:w="5949" w:type="dxa"/>
          </w:tcPr>
          <w:p w14:paraId="3030018C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3CB837EB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4CB9D177" w14:textId="77777777" w:rsidTr="00EC37D5">
        <w:tc>
          <w:tcPr>
            <w:tcW w:w="5949" w:type="dxa"/>
          </w:tcPr>
          <w:p w14:paraId="53860E57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58E10CED" w14:textId="77777777" w:rsidR="009F6704" w:rsidRPr="00D04789" w:rsidRDefault="009F6704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7B7BBCF4" w14:textId="77777777" w:rsidTr="00EC37D5">
        <w:tc>
          <w:tcPr>
            <w:tcW w:w="5949" w:type="dxa"/>
          </w:tcPr>
          <w:p w14:paraId="0FA59541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5E5B9BFA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622FC10D" w14:textId="77777777" w:rsidTr="00EC37D5">
        <w:tc>
          <w:tcPr>
            <w:tcW w:w="5949" w:type="dxa"/>
          </w:tcPr>
          <w:p w14:paraId="550CD580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86768E3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E01D6" w14:textId="77777777" w:rsidR="009F6704" w:rsidRDefault="009F6704" w:rsidP="009F6704">
      <w:pPr>
        <w:rPr>
          <w:rFonts w:ascii="Arial" w:hAnsi="Arial" w:cs="Arial"/>
          <w:sz w:val="24"/>
          <w:szCs w:val="24"/>
        </w:rPr>
      </w:pPr>
    </w:p>
    <w:p w14:paraId="64369234" w14:textId="77777777" w:rsidR="00E158A4" w:rsidRPr="00E158A4" w:rsidRDefault="00E158A4" w:rsidP="00E1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8A4">
        <w:rPr>
          <w:rFonts w:ascii="Arial" w:hAnsi="Arial" w:cs="Arial"/>
          <w:sz w:val="24"/>
          <w:szCs w:val="24"/>
        </w:rPr>
        <w:t>Well Pharmacy will be closing their premises at 10 Broad Street, Staple Hill BS16 5NX from 29 October 2016.</w:t>
      </w:r>
    </w:p>
    <w:p w14:paraId="02662168" w14:textId="77777777" w:rsidR="00F15F83" w:rsidRPr="00E158A4" w:rsidRDefault="00F15F83" w:rsidP="00E158A4">
      <w:pPr>
        <w:rPr>
          <w:rFonts w:ascii="Arial" w:hAnsi="Arial" w:cs="Arial"/>
          <w:sz w:val="24"/>
          <w:szCs w:val="24"/>
        </w:rPr>
      </w:pPr>
    </w:p>
    <w:p w14:paraId="57EFF783" w14:textId="1B71047C" w:rsidR="00F15F83" w:rsidRDefault="00F15F83" w:rsidP="00F15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8A4">
        <w:rPr>
          <w:rFonts w:ascii="Arial" w:hAnsi="Arial" w:cs="Arial"/>
          <w:sz w:val="24"/>
          <w:szCs w:val="24"/>
        </w:rPr>
        <w:t>Nearby pharmacies are</w:t>
      </w:r>
      <w:proofErr w:type="gramStart"/>
      <w:r w:rsidRPr="00E158A4">
        <w:rPr>
          <w:rFonts w:ascii="Arial" w:hAnsi="Arial" w:cs="Arial"/>
          <w:sz w:val="24"/>
          <w:szCs w:val="24"/>
        </w:rPr>
        <w:t>:</w:t>
      </w:r>
      <w:proofErr w:type="gramEnd"/>
      <w:r w:rsidR="00E158A4">
        <w:rPr>
          <w:rFonts w:ascii="Arial" w:hAnsi="Arial" w:cs="Arial"/>
          <w:sz w:val="24"/>
          <w:szCs w:val="24"/>
        </w:rPr>
        <w:br/>
      </w:r>
      <w:r w:rsidR="00E158A4">
        <w:rPr>
          <w:rFonts w:ascii="Arial" w:hAnsi="Arial" w:cs="Arial"/>
          <w:sz w:val="24"/>
          <w:szCs w:val="24"/>
        </w:rPr>
        <w:br/>
      </w:r>
      <w:proofErr w:type="spellStart"/>
      <w:r w:rsidR="00E158A4">
        <w:rPr>
          <w:rFonts w:ascii="Arial" w:hAnsi="Arial" w:cs="Arial"/>
          <w:sz w:val="24"/>
          <w:szCs w:val="24"/>
        </w:rPr>
        <w:t>Cleevewood</w:t>
      </w:r>
      <w:proofErr w:type="spellEnd"/>
      <w:r w:rsidR="00E158A4">
        <w:rPr>
          <w:rFonts w:ascii="Arial" w:hAnsi="Arial" w:cs="Arial"/>
          <w:sz w:val="24"/>
          <w:szCs w:val="24"/>
        </w:rPr>
        <w:t xml:space="preserve"> Pharmacy: </w:t>
      </w:r>
      <w:r w:rsidR="00E158A4" w:rsidRPr="00E158A4">
        <w:rPr>
          <w:rFonts w:ascii="Arial" w:hAnsi="Arial" w:cs="Arial"/>
          <w:sz w:val="24"/>
          <w:szCs w:val="24"/>
        </w:rPr>
        <w:t xml:space="preserve">7 Cleeve Wood Road, </w:t>
      </w:r>
      <w:proofErr w:type="spellStart"/>
      <w:r w:rsidR="00E158A4" w:rsidRPr="00E158A4">
        <w:rPr>
          <w:rFonts w:ascii="Arial" w:hAnsi="Arial" w:cs="Arial"/>
          <w:sz w:val="24"/>
          <w:szCs w:val="24"/>
        </w:rPr>
        <w:t>Downend</w:t>
      </w:r>
      <w:proofErr w:type="spellEnd"/>
      <w:r w:rsidR="00E158A4" w:rsidRPr="00E158A4">
        <w:rPr>
          <w:rFonts w:ascii="Arial" w:hAnsi="Arial" w:cs="Arial"/>
          <w:sz w:val="24"/>
          <w:szCs w:val="24"/>
        </w:rPr>
        <w:t>, BS16 2SF</w:t>
      </w:r>
      <w:r w:rsidR="00E158A4">
        <w:rPr>
          <w:rFonts w:ascii="Arial" w:hAnsi="Arial" w:cs="Arial"/>
          <w:sz w:val="24"/>
          <w:szCs w:val="24"/>
        </w:rPr>
        <w:br/>
        <w:t xml:space="preserve">Boots: </w:t>
      </w:r>
      <w:proofErr w:type="spellStart"/>
      <w:r w:rsidR="00E158A4" w:rsidRPr="00E158A4">
        <w:rPr>
          <w:rFonts w:ascii="Arial" w:hAnsi="Arial" w:cs="Arial"/>
          <w:sz w:val="24"/>
          <w:szCs w:val="24"/>
        </w:rPr>
        <w:t>Emersons</w:t>
      </w:r>
      <w:proofErr w:type="spellEnd"/>
      <w:r w:rsidR="00E158A4" w:rsidRPr="00E158A4">
        <w:rPr>
          <w:rFonts w:ascii="Arial" w:hAnsi="Arial" w:cs="Arial"/>
          <w:sz w:val="24"/>
          <w:szCs w:val="24"/>
        </w:rPr>
        <w:t xml:space="preserve"> Green Retail Park, </w:t>
      </w:r>
      <w:proofErr w:type="spellStart"/>
      <w:r w:rsidR="00E158A4" w:rsidRPr="00E158A4">
        <w:rPr>
          <w:rFonts w:ascii="Arial" w:hAnsi="Arial" w:cs="Arial"/>
          <w:sz w:val="24"/>
          <w:szCs w:val="24"/>
        </w:rPr>
        <w:t>Emersons</w:t>
      </w:r>
      <w:proofErr w:type="spellEnd"/>
      <w:r w:rsidR="00E158A4" w:rsidRPr="00E158A4">
        <w:rPr>
          <w:rFonts w:ascii="Arial" w:hAnsi="Arial" w:cs="Arial"/>
          <w:sz w:val="24"/>
          <w:szCs w:val="24"/>
        </w:rPr>
        <w:t xml:space="preserve"> Green, BS16 7AE</w:t>
      </w:r>
    </w:p>
    <w:p w14:paraId="62019CEA" w14:textId="77777777" w:rsidR="00E158A4" w:rsidRDefault="00E158A4" w:rsidP="00F15F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DA7A1" w14:textId="04FE58CC" w:rsidR="00E158A4" w:rsidRPr="00A83869" w:rsidRDefault="00E158A4" w:rsidP="00F15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8A4">
        <w:rPr>
          <w:rFonts w:ascii="Arial" w:hAnsi="Arial" w:cs="Arial"/>
          <w:b/>
          <w:sz w:val="28"/>
          <w:szCs w:val="28"/>
          <w:u w:val="single"/>
        </w:rPr>
        <w:t>Update 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04789">
        <w:rPr>
          <w:rFonts w:ascii="Arial" w:hAnsi="Arial" w:cs="Arial"/>
          <w:b/>
          <w:sz w:val="24"/>
          <w:szCs w:val="24"/>
        </w:rPr>
        <w:t>Type of change</w:t>
      </w:r>
    </w:p>
    <w:p w14:paraId="4EBE4383" w14:textId="77777777" w:rsidR="00C00054" w:rsidRPr="009F6704" w:rsidRDefault="00C00054" w:rsidP="009F6704">
      <w:pPr>
        <w:pStyle w:val="ListParagraph"/>
        <w:spacing w:after="0" w:line="240" w:lineRule="auto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F6704" w:rsidRPr="00D04789" w14:paraId="1A5606E6" w14:textId="77777777" w:rsidTr="00EC37D5">
        <w:tc>
          <w:tcPr>
            <w:tcW w:w="5949" w:type="dxa"/>
          </w:tcPr>
          <w:p w14:paraId="7430CD2E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0F3C60B0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71E54176" w14:textId="77777777" w:rsidTr="00EC37D5">
        <w:tc>
          <w:tcPr>
            <w:tcW w:w="5949" w:type="dxa"/>
          </w:tcPr>
          <w:p w14:paraId="7153598D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259F78AD" w14:textId="77777777" w:rsidR="009F6704" w:rsidRPr="00D04789" w:rsidRDefault="009F6704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66F65F7" w14:textId="77777777" w:rsidTr="00EC37D5">
        <w:tc>
          <w:tcPr>
            <w:tcW w:w="5949" w:type="dxa"/>
          </w:tcPr>
          <w:p w14:paraId="030D4A0D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2FDE83B4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566C87B4" w14:textId="77777777" w:rsidTr="00EC37D5">
        <w:tc>
          <w:tcPr>
            <w:tcW w:w="5949" w:type="dxa"/>
          </w:tcPr>
          <w:p w14:paraId="7AA7697A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038668BB" w14:textId="2244B789" w:rsidR="009F6704" w:rsidRPr="00D04789" w:rsidRDefault="00E158A4" w:rsidP="00EC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6704" w:rsidRPr="00D04789" w14:paraId="75FB1BAE" w14:textId="77777777" w:rsidTr="00EC37D5">
        <w:tc>
          <w:tcPr>
            <w:tcW w:w="5949" w:type="dxa"/>
          </w:tcPr>
          <w:p w14:paraId="1C9EDFF5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16026C22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FEFE859" w14:textId="77777777" w:rsidTr="00EC37D5">
        <w:tc>
          <w:tcPr>
            <w:tcW w:w="5949" w:type="dxa"/>
          </w:tcPr>
          <w:p w14:paraId="3D61DF6B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EC4D36D" w14:textId="77777777" w:rsidR="009F6704" w:rsidRPr="00D04789" w:rsidRDefault="009F6704" w:rsidP="00EC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1599B" w14:textId="77777777" w:rsidR="009F6704" w:rsidRDefault="009F6704" w:rsidP="009F6704">
      <w:pPr>
        <w:pStyle w:val="ListParagraph"/>
        <w:spacing w:after="0" w:line="240" w:lineRule="auto"/>
        <w:contextualSpacing w:val="0"/>
      </w:pPr>
    </w:p>
    <w:p w14:paraId="10E84DB7" w14:textId="77777777" w:rsidR="00E158A4" w:rsidRPr="00E158A4" w:rsidRDefault="00E158A4" w:rsidP="00E1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8A4">
        <w:rPr>
          <w:rFonts w:ascii="Arial" w:hAnsi="Arial" w:cs="Arial"/>
          <w:sz w:val="24"/>
          <w:szCs w:val="24"/>
        </w:rPr>
        <w:t xml:space="preserve">Horizon Pharmacy, a distance-selling pharmacy at The Chapel, The Common, </w:t>
      </w:r>
      <w:proofErr w:type="spellStart"/>
      <w:r w:rsidRPr="00E158A4">
        <w:rPr>
          <w:rFonts w:ascii="Arial" w:hAnsi="Arial" w:cs="Arial"/>
          <w:sz w:val="24"/>
          <w:szCs w:val="24"/>
        </w:rPr>
        <w:t>Patchway</w:t>
      </w:r>
      <w:proofErr w:type="spellEnd"/>
      <w:r w:rsidRPr="00E158A4">
        <w:rPr>
          <w:rFonts w:ascii="Arial" w:hAnsi="Arial" w:cs="Arial"/>
          <w:sz w:val="24"/>
          <w:szCs w:val="24"/>
        </w:rPr>
        <w:t xml:space="preserve"> BS34 6AS is changing its opening hours to be Monday–Friday 9am-6pm and Saturday 9am-1pm</w:t>
      </w:r>
    </w:p>
    <w:p w14:paraId="0F65BA90" w14:textId="77777777" w:rsidR="00E158A4" w:rsidRDefault="00E158A4" w:rsidP="007A1B35">
      <w:pPr>
        <w:rPr>
          <w:rFonts w:ascii="Arial" w:hAnsi="Arial" w:cs="Arial"/>
          <w:sz w:val="24"/>
          <w:szCs w:val="24"/>
        </w:rPr>
      </w:pPr>
    </w:p>
    <w:p w14:paraId="05BF47EE" w14:textId="77777777" w:rsidR="007A1B35" w:rsidRDefault="007A1B35" w:rsidP="007A1B35">
      <w:pPr>
        <w:rPr>
          <w:rFonts w:ascii="Arial" w:hAnsi="Arial" w:cs="Arial"/>
          <w:sz w:val="24"/>
          <w:szCs w:val="24"/>
        </w:rPr>
      </w:pPr>
    </w:p>
    <w:p w14:paraId="18637F63" w14:textId="73EF9ADF" w:rsidR="00C012FD" w:rsidRPr="00C012FD" w:rsidRDefault="00C012FD" w:rsidP="007A1B35">
      <w:pPr>
        <w:ind w:left="360"/>
        <w:jc w:val="both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 xml:space="preserve">Prepared by </w:t>
      </w:r>
      <w:r w:rsidR="00EC37D5">
        <w:rPr>
          <w:rFonts w:ascii="Arial" w:hAnsi="Arial" w:cs="Arial"/>
          <w:sz w:val="24"/>
          <w:szCs w:val="24"/>
        </w:rPr>
        <w:t>Sara Blackmore</w:t>
      </w:r>
    </w:p>
    <w:p w14:paraId="3C1AB01D" w14:textId="5042A99B" w:rsidR="00C012FD" w:rsidRDefault="00EC37D5" w:rsidP="00C012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 of</w:t>
      </w:r>
      <w:r w:rsidR="00C012FD" w:rsidRPr="00C012FD">
        <w:rPr>
          <w:rFonts w:ascii="Arial" w:hAnsi="Arial" w:cs="Arial"/>
          <w:sz w:val="24"/>
          <w:szCs w:val="24"/>
        </w:rPr>
        <w:t xml:space="preserve"> Public Health</w:t>
      </w:r>
      <w:r>
        <w:rPr>
          <w:rFonts w:ascii="Arial" w:hAnsi="Arial" w:cs="Arial"/>
          <w:sz w:val="24"/>
          <w:szCs w:val="24"/>
        </w:rPr>
        <w:t>/ Public Health Consultant</w:t>
      </w:r>
      <w:r w:rsidR="00FE5565">
        <w:rPr>
          <w:rFonts w:ascii="Arial" w:hAnsi="Arial" w:cs="Arial"/>
          <w:sz w:val="24"/>
          <w:szCs w:val="24"/>
        </w:rPr>
        <w:t>, South Gloucestershire Council</w:t>
      </w:r>
    </w:p>
    <w:p w14:paraId="28717C85" w14:textId="611856CA" w:rsidR="00EC37D5" w:rsidRPr="00C012FD" w:rsidRDefault="00EC37D5" w:rsidP="00C012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March 2017</w:t>
      </w:r>
    </w:p>
    <w:p w14:paraId="30DEA33D" w14:textId="2F5AFA57" w:rsidR="002F7D81" w:rsidRPr="002F7D81" w:rsidRDefault="002F7D81" w:rsidP="002F7D81">
      <w:pPr>
        <w:rPr>
          <w:rFonts w:ascii="Arial" w:hAnsi="Arial" w:cs="Arial"/>
          <w:sz w:val="24"/>
          <w:szCs w:val="24"/>
        </w:rPr>
      </w:pPr>
    </w:p>
    <w:sectPr w:rsidR="002F7D81" w:rsidRPr="002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0438"/>
    <w:multiLevelType w:val="hybridMultilevel"/>
    <w:tmpl w:val="0496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ED8"/>
    <w:multiLevelType w:val="hybridMultilevel"/>
    <w:tmpl w:val="177C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0EB"/>
    <w:multiLevelType w:val="hybridMultilevel"/>
    <w:tmpl w:val="332EB188"/>
    <w:lvl w:ilvl="0" w:tplc="CC0ED7A4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12C2"/>
    <w:multiLevelType w:val="hybridMultilevel"/>
    <w:tmpl w:val="0496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4741"/>
    <w:multiLevelType w:val="hybridMultilevel"/>
    <w:tmpl w:val="6096EEBA"/>
    <w:lvl w:ilvl="0" w:tplc="97CE5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3AA"/>
    <w:multiLevelType w:val="hybridMultilevel"/>
    <w:tmpl w:val="E50C7D1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05B43D9"/>
    <w:multiLevelType w:val="hybridMultilevel"/>
    <w:tmpl w:val="ABEC221A"/>
    <w:lvl w:ilvl="0" w:tplc="6F4A03C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E"/>
    <w:rsid w:val="00033A23"/>
    <w:rsid w:val="000B1FDE"/>
    <w:rsid w:val="00141321"/>
    <w:rsid w:val="001F5DB3"/>
    <w:rsid w:val="001F7E7D"/>
    <w:rsid w:val="00207F86"/>
    <w:rsid w:val="002D422A"/>
    <w:rsid w:val="002F7D81"/>
    <w:rsid w:val="00302E6A"/>
    <w:rsid w:val="0050474E"/>
    <w:rsid w:val="00514A22"/>
    <w:rsid w:val="00521626"/>
    <w:rsid w:val="00535915"/>
    <w:rsid w:val="005B5BD1"/>
    <w:rsid w:val="006565DD"/>
    <w:rsid w:val="007351F9"/>
    <w:rsid w:val="007A1B35"/>
    <w:rsid w:val="007B1F10"/>
    <w:rsid w:val="008667B2"/>
    <w:rsid w:val="009A613E"/>
    <w:rsid w:val="009B453C"/>
    <w:rsid w:val="009F6704"/>
    <w:rsid w:val="00A0658A"/>
    <w:rsid w:val="00A83869"/>
    <w:rsid w:val="00C00054"/>
    <w:rsid w:val="00C012FD"/>
    <w:rsid w:val="00C01AB7"/>
    <w:rsid w:val="00D04789"/>
    <w:rsid w:val="00E158A4"/>
    <w:rsid w:val="00E935D0"/>
    <w:rsid w:val="00EA29B4"/>
    <w:rsid w:val="00EB6E98"/>
    <w:rsid w:val="00EC37D5"/>
    <w:rsid w:val="00ED57DB"/>
    <w:rsid w:val="00F15F83"/>
    <w:rsid w:val="00F20512"/>
    <w:rsid w:val="00F40A93"/>
    <w:rsid w:val="00F6788A"/>
    <w:rsid w:val="00FC3DC4"/>
    <w:rsid w:val="00FE5565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503E"/>
  <w15:chartTrackingRefBased/>
  <w15:docId w15:val="{FD1DBA88-A6F0-482C-9659-DDFD473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78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8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51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David Pedley</cp:lastModifiedBy>
  <cp:revision>2</cp:revision>
  <dcterms:created xsi:type="dcterms:W3CDTF">2017-03-29T12:35:00Z</dcterms:created>
  <dcterms:modified xsi:type="dcterms:W3CDTF">2017-03-29T12:35:00Z</dcterms:modified>
</cp:coreProperties>
</file>