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B4" w:rsidRDefault="003E53B4" w:rsidP="003E53B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South Gloucestershire </w:t>
      </w:r>
    </w:p>
    <w:p w:rsidR="003E53B4" w:rsidRPr="00F22F3A" w:rsidRDefault="00465E1A" w:rsidP="00F22F3A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Anti–</w:t>
      </w:r>
      <w:r w:rsidR="003E53B4">
        <w:rPr>
          <w:rFonts w:ascii="Trebuchet MS" w:hAnsi="Trebuchet MS"/>
          <w:b/>
        </w:rPr>
        <w:t>Bullying Policy</w:t>
      </w:r>
      <w:r>
        <w:rPr>
          <w:rFonts w:ascii="Trebuchet MS" w:hAnsi="Trebuchet MS"/>
          <w:b/>
        </w:rPr>
        <w:t xml:space="preserve"> Framework</w:t>
      </w:r>
    </w:p>
    <w:p w:rsidR="003E53B4" w:rsidRDefault="00F3717E" w:rsidP="003E53B4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 xml:space="preserve">This anti bullying policy framework can be used to check </w:t>
      </w:r>
      <w:r w:rsidR="0086212B">
        <w:rPr>
          <w:rFonts w:ascii="Trebuchet MS" w:hAnsi="Trebuchet MS"/>
          <w:i/>
          <w:sz w:val="22"/>
          <w:szCs w:val="22"/>
        </w:rPr>
        <w:t>the</w:t>
      </w:r>
      <w:r>
        <w:rPr>
          <w:rFonts w:ascii="Trebuchet MS" w:hAnsi="Trebuchet MS"/>
          <w:i/>
          <w:sz w:val="22"/>
          <w:szCs w:val="22"/>
        </w:rPr>
        <w:t xml:space="preserve"> current policy is up to date and fit for purpose</w:t>
      </w:r>
      <w:r w:rsidR="00465E1A">
        <w:rPr>
          <w:rFonts w:ascii="Trebuchet MS" w:hAnsi="Trebuchet MS"/>
          <w:i/>
          <w:sz w:val="22"/>
          <w:szCs w:val="22"/>
        </w:rPr>
        <w:t>. It can also be used as a</w:t>
      </w:r>
      <w:r>
        <w:rPr>
          <w:rFonts w:ascii="Trebuchet MS" w:hAnsi="Trebuchet MS"/>
          <w:i/>
          <w:sz w:val="22"/>
          <w:szCs w:val="22"/>
        </w:rPr>
        <w:t xml:space="preserve"> template to </w:t>
      </w:r>
      <w:r w:rsidR="00465E1A">
        <w:rPr>
          <w:rFonts w:ascii="Trebuchet MS" w:hAnsi="Trebuchet MS"/>
          <w:i/>
          <w:sz w:val="22"/>
          <w:szCs w:val="22"/>
        </w:rPr>
        <w:t xml:space="preserve">write </w:t>
      </w:r>
      <w:r>
        <w:rPr>
          <w:rFonts w:ascii="Trebuchet MS" w:hAnsi="Trebuchet MS"/>
          <w:i/>
          <w:sz w:val="22"/>
          <w:szCs w:val="22"/>
        </w:rPr>
        <w:t>a new</w:t>
      </w:r>
      <w:r w:rsidR="0086212B">
        <w:rPr>
          <w:rFonts w:ascii="Trebuchet MS" w:hAnsi="Trebuchet MS"/>
          <w:i/>
          <w:sz w:val="22"/>
          <w:szCs w:val="22"/>
        </w:rPr>
        <w:t xml:space="preserve"> school</w:t>
      </w:r>
      <w:r>
        <w:rPr>
          <w:rFonts w:ascii="Trebuchet MS" w:hAnsi="Trebuchet MS"/>
          <w:i/>
          <w:sz w:val="22"/>
          <w:szCs w:val="22"/>
        </w:rPr>
        <w:t xml:space="preserve"> policy.  </w:t>
      </w:r>
      <w:r w:rsidR="003E53B4" w:rsidRPr="00F3717E">
        <w:rPr>
          <w:rFonts w:ascii="Trebuchet MS" w:hAnsi="Trebuchet MS"/>
          <w:i/>
          <w:sz w:val="22"/>
          <w:szCs w:val="22"/>
        </w:rPr>
        <w:t>In addition to having an anti-bullying policy that follows the framework below</w:t>
      </w:r>
      <w:r w:rsidRPr="00F3717E">
        <w:rPr>
          <w:rFonts w:ascii="Trebuchet MS" w:hAnsi="Trebuchet MS"/>
          <w:i/>
          <w:sz w:val="22"/>
          <w:szCs w:val="22"/>
        </w:rPr>
        <w:t xml:space="preserve"> and addresses the key questions asked</w:t>
      </w:r>
      <w:r w:rsidR="003E53B4" w:rsidRPr="00F3717E">
        <w:rPr>
          <w:rFonts w:ascii="Trebuchet MS" w:hAnsi="Trebuchet MS"/>
          <w:i/>
          <w:sz w:val="22"/>
          <w:szCs w:val="22"/>
        </w:rPr>
        <w:t xml:space="preserve">, we recommend using the </w:t>
      </w:r>
      <w:r>
        <w:rPr>
          <w:rFonts w:ascii="Trebuchet MS" w:hAnsi="Trebuchet MS"/>
          <w:i/>
          <w:sz w:val="22"/>
          <w:szCs w:val="22"/>
        </w:rPr>
        <w:t xml:space="preserve">range of tools from the Anti Bullying Alliance </w:t>
      </w:r>
      <w:r w:rsidR="003E53B4" w:rsidRPr="00F3717E">
        <w:rPr>
          <w:rFonts w:ascii="Trebuchet MS" w:hAnsi="Trebuchet MS"/>
          <w:i/>
          <w:sz w:val="22"/>
          <w:szCs w:val="22"/>
        </w:rPr>
        <w:t xml:space="preserve">to </w:t>
      </w:r>
      <w:r w:rsidR="00465E1A">
        <w:rPr>
          <w:rFonts w:ascii="Trebuchet MS" w:hAnsi="Trebuchet MS"/>
          <w:i/>
          <w:sz w:val="22"/>
          <w:szCs w:val="22"/>
        </w:rPr>
        <w:t>support your</w:t>
      </w:r>
      <w:r w:rsidR="003E53B4" w:rsidRPr="00F3717E">
        <w:rPr>
          <w:rFonts w:ascii="Trebuchet MS" w:hAnsi="Trebuchet MS"/>
          <w:i/>
          <w:sz w:val="22"/>
          <w:szCs w:val="22"/>
        </w:rPr>
        <w:t xml:space="preserve"> anti bullying practice and procedures</w:t>
      </w:r>
      <w:r w:rsidR="0086212B">
        <w:rPr>
          <w:rFonts w:ascii="Trebuchet MS" w:hAnsi="Trebuchet MS"/>
          <w:i/>
          <w:sz w:val="22"/>
          <w:szCs w:val="22"/>
        </w:rPr>
        <w:t xml:space="preserve">. An anti-bullying self-assessment tool has also been produced and accompanies this framework.  </w:t>
      </w:r>
      <w:r w:rsidR="00465E1A">
        <w:rPr>
          <w:rFonts w:ascii="Trebuchet MS" w:hAnsi="Trebuchet MS"/>
          <w:i/>
          <w:sz w:val="22"/>
          <w:szCs w:val="22"/>
        </w:rPr>
        <w:t>Anti-bullying policy, procedures</w:t>
      </w:r>
      <w:r w:rsidR="003E53B4" w:rsidRPr="00F3717E">
        <w:rPr>
          <w:rFonts w:ascii="Trebuchet MS" w:hAnsi="Trebuchet MS"/>
          <w:i/>
          <w:sz w:val="22"/>
          <w:szCs w:val="22"/>
        </w:rPr>
        <w:t xml:space="preserve"> and </w:t>
      </w:r>
      <w:r w:rsidR="00465E1A">
        <w:rPr>
          <w:rFonts w:ascii="Trebuchet MS" w:hAnsi="Trebuchet MS"/>
          <w:i/>
          <w:sz w:val="22"/>
          <w:szCs w:val="22"/>
        </w:rPr>
        <w:t>practice, including teaching and learni</w:t>
      </w:r>
      <w:r w:rsidR="0086212B">
        <w:rPr>
          <w:rFonts w:ascii="Trebuchet MS" w:hAnsi="Trebuchet MS"/>
          <w:i/>
          <w:sz w:val="22"/>
          <w:szCs w:val="22"/>
        </w:rPr>
        <w:t>ng related to anti bullying, is</w:t>
      </w:r>
      <w:r w:rsidR="003E53B4" w:rsidRPr="00F3717E">
        <w:rPr>
          <w:rFonts w:ascii="Trebuchet MS" w:hAnsi="Trebuchet MS"/>
          <w:i/>
          <w:sz w:val="22"/>
          <w:szCs w:val="22"/>
        </w:rPr>
        <w:t xml:space="preserve"> reflected in the annual South Gloucestershire Education Safeguarding Audit. </w:t>
      </w:r>
    </w:p>
    <w:p w:rsidR="00AB3EED" w:rsidRPr="00F3717E" w:rsidRDefault="00AB3EED" w:rsidP="003E53B4">
      <w:pPr>
        <w:rPr>
          <w:rFonts w:ascii="Trebuchet MS" w:hAnsi="Trebuchet MS"/>
          <w:sz w:val="22"/>
          <w:szCs w:val="22"/>
        </w:rPr>
      </w:pPr>
    </w:p>
    <w:p w:rsidR="003E53B4" w:rsidRPr="00AB3EED" w:rsidRDefault="00580E1C" w:rsidP="00580E1C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</w:t>
      </w:r>
      <w:r w:rsidR="008451C2" w:rsidRPr="00AB3EED">
        <w:rPr>
          <w:rFonts w:ascii="Trebuchet MS" w:hAnsi="Trebuchet MS"/>
          <w:b/>
          <w:sz w:val="28"/>
          <w:szCs w:val="28"/>
        </w:rPr>
        <w:t>Developing a policy – the process</w:t>
      </w:r>
    </w:p>
    <w:p w:rsidR="00465E1A" w:rsidRPr="00465E1A" w:rsidRDefault="008451C2" w:rsidP="008451C2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1.1  </w:t>
      </w:r>
      <w:r w:rsidR="00465E1A">
        <w:rPr>
          <w:rFonts w:ascii="Trebuchet MS" w:hAnsi="Trebuchet MS"/>
          <w:b/>
        </w:rPr>
        <w:t xml:space="preserve">The </w:t>
      </w:r>
      <w:r w:rsidR="003E53B4">
        <w:rPr>
          <w:rFonts w:ascii="Trebuchet MS" w:hAnsi="Trebuchet MS"/>
          <w:b/>
        </w:rPr>
        <w:t>Introduction</w:t>
      </w:r>
      <w:r w:rsidR="00465E1A">
        <w:rPr>
          <w:rFonts w:ascii="Trebuchet MS" w:hAnsi="Trebuchet MS"/>
          <w:b/>
        </w:rPr>
        <w:t xml:space="preserve"> should include: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E53B4" w:rsidTr="00F22F3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Consultation that has taken place:</w:t>
            </w:r>
          </w:p>
          <w:p w:rsidR="003E53B4" w:rsidRDefault="003E53B4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Who has been consulted and how?</w:t>
            </w:r>
          </w:p>
          <w:p w:rsidR="00BD5141" w:rsidRDefault="00BD5141">
            <w:p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e.g. governors, staff (teaching and non-teaching) pupils, </w:t>
            </w:r>
            <w:r w:rsidR="0036499F">
              <w:rPr>
                <w:rFonts w:ascii="Trebuchet MS" w:hAnsi="Trebuchet MS"/>
                <w:color w:val="000000"/>
              </w:rPr>
              <w:t>parents</w:t>
            </w:r>
            <w:r>
              <w:rPr>
                <w:rFonts w:ascii="Trebuchet MS" w:hAnsi="Trebuchet MS"/>
                <w:color w:val="000000"/>
              </w:rPr>
              <w:t>/carers</w:t>
            </w:r>
          </w:p>
          <w:p w:rsidR="008451C2" w:rsidRDefault="008451C2" w:rsidP="008451C2">
            <w:pPr>
              <w:rPr>
                <w:rFonts w:ascii="Trebuchet MS" w:hAnsi="Trebuchet MS"/>
                <w:color w:val="000000"/>
              </w:rPr>
            </w:pPr>
          </w:p>
        </w:tc>
      </w:tr>
      <w:tr w:rsidR="003E53B4" w:rsidTr="00F22F3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How the policy will be disseminated to schools community: </w:t>
            </w:r>
          </w:p>
          <w:p w:rsidR="003E53B4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e.g. email, available on website, discussed with pupils</w:t>
            </w:r>
          </w:p>
        </w:tc>
      </w:tr>
      <w:tr w:rsidR="003E53B4" w:rsidTr="00F22F3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B4" w:rsidRDefault="003E53B4" w:rsidP="003E53B4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A child friendly version of the policy exists: </w:t>
            </w:r>
          </w:p>
          <w:p w:rsidR="008451C2" w:rsidRDefault="008451C2" w:rsidP="003E53B4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Have pupils been involved in creating a child friendly version of the policy?</w:t>
            </w:r>
          </w:p>
          <w:p w:rsidR="003E53B4" w:rsidRPr="003E53B4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r w:rsidRPr="003E53B4">
              <w:rPr>
                <w:rFonts w:ascii="Trebuchet MS" w:hAnsi="Trebuchet MS"/>
                <w:color w:val="000000"/>
              </w:rPr>
              <w:t xml:space="preserve">e.g. </w:t>
            </w:r>
            <w:r w:rsidR="0036499F">
              <w:rPr>
                <w:rFonts w:ascii="Trebuchet MS" w:hAnsi="Trebuchet MS"/>
                <w:color w:val="000000"/>
              </w:rPr>
              <w:t xml:space="preserve">is </w:t>
            </w:r>
            <w:r w:rsidRPr="003E53B4">
              <w:rPr>
                <w:rFonts w:ascii="Trebuchet MS" w:hAnsi="Trebuchet MS"/>
                <w:color w:val="000000"/>
              </w:rPr>
              <w:t xml:space="preserve">visible in each </w:t>
            </w:r>
            <w:r w:rsidR="0036499F">
              <w:rPr>
                <w:rFonts w:ascii="Trebuchet MS" w:hAnsi="Trebuchet MS"/>
                <w:color w:val="000000"/>
              </w:rPr>
              <w:t>classroom or</w:t>
            </w:r>
            <w:r w:rsidRPr="003E53B4">
              <w:rPr>
                <w:rFonts w:ascii="Trebuchet MS" w:hAnsi="Trebuchet MS"/>
                <w:color w:val="000000"/>
              </w:rPr>
              <w:t xml:space="preserve"> on the </w:t>
            </w:r>
            <w:r w:rsidR="0036499F">
              <w:rPr>
                <w:rFonts w:ascii="Trebuchet MS" w:hAnsi="Trebuchet MS"/>
                <w:color w:val="000000"/>
              </w:rPr>
              <w:t xml:space="preserve">school </w:t>
            </w:r>
            <w:r w:rsidRPr="003E53B4">
              <w:rPr>
                <w:rFonts w:ascii="Trebuchet MS" w:hAnsi="Trebuchet MS"/>
                <w:color w:val="000000"/>
              </w:rPr>
              <w:t>website, used in PSHE lessons</w:t>
            </w:r>
          </w:p>
        </w:tc>
      </w:tr>
      <w:tr w:rsidR="003E53B4" w:rsidTr="00F22F3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Links to other relevant policies </w:t>
            </w:r>
          </w:p>
          <w:p w:rsidR="00BD5141" w:rsidRPr="00BD5141" w:rsidRDefault="003E53B4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e.g. Behaviour management; Attendance; Equality &amp; Inclusion; </w:t>
            </w:r>
            <w:r w:rsidR="00BD5141">
              <w:rPr>
                <w:rFonts w:ascii="Trebuchet MS" w:hAnsi="Trebuchet MS"/>
                <w:color w:val="000000"/>
              </w:rPr>
              <w:t xml:space="preserve">Safeguarding/Child Protection; </w:t>
            </w:r>
            <w:r>
              <w:rPr>
                <w:rFonts w:ascii="Trebuchet MS" w:hAnsi="Trebuchet MS"/>
                <w:color w:val="000000"/>
              </w:rPr>
              <w:t>P</w:t>
            </w:r>
            <w:r w:rsidR="00B64753">
              <w:rPr>
                <w:rFonts w:ascii="Trebuchet MS" w:hAnsi="Trebuchet MS"/>
                <w:color w:val="000000"/>
              </w:rPr>
              <w:t xml:space="preserve">ersonal, </w:t>
            </w:r>
            <w:r>
              <w:rPr>
                <w:rFonts w:ascii="Trebuchet MS" w:hAnsi="Trebuchet MS"/>
                <w:color w:val="000000"/>
              </w:rPr>
              <w:t>S</w:t>
            </w:r>
            <w:r w:rsidR="00B64753">
              <w:rPr>
                <w:rFonts w:ascii="Trebuchet MS" w:hAnsi="Trebuchet MS"/>
                <w:color w:val="000000"/>
              </w:rPr>
              <w:t xml:space="preserve">ocial and </w:t>
            </w:r>
            <w:r>
              <w:rPr>
                <w:rFonts w:ascii="Trebuchet MS" w:hAnsi="Trebuchet MS"/>
                <w:color w:val="000000"/>
              </w:rPr>
              <w:t>H</w:t>
            </w:r>
            <w:r w:rsidR="00B64753">
              <w:rPr>
                <w:rFonts w:ascii="Trebuchet MS" w:hAnsi="Trebuchet MS"/>
                <w:color w:val="000000"/>
              </w:rPr>
              <w:t xml:space="preserve">ealth </w:t>
            </w:r>
            <w:r>
              <w:rPr>
                <w:rFonts w:ascii="Trebuchet MS" w:hAnsi="Trebuchet MS"/>
                <w:color w:val="000000"/>
              </w:rPr>
              <w:t>E</w:t>
            </w:r>
            <w:r w:rsidR="00B64753">
              <w:rPr>
                <w:rFonts w:ascii="Trebuchet MS" w:hAnsi="Trebuchet MS"/>
                <w:color w:val="000000"/>
              </w:rPr>
              <w:t>ducation, Relationships and Sex Education</w:t>
            </w:r>
          </w:p>
        </w:tc>
      </w:tr>
      <w:tr w:rsidR="00BD5141" w:rsidTr="00F22F3A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41" w:rsidRDefault="00BD5141" w:rsidP="00BD5141">
            <w:pPr>
              <w:numPr>
                <w:ilvl w:val="12"/>
                <w:numId w:val="0"/>
              </w:num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Follow</w:t>
            </w:r>
            <w:r w:rsidR="0036499F">
              <w:rPr>
                <w:rFonts w:ascii="Trebuchet MS" w:hAnsi="Trebuchet MS"/>
                <w:b/>
                <w:color w:val="000000"/>
              </w:rPr>
              <w:t>s</w:t>
            </w:r>
            <w:r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5F2193">
              <w:rPr>
                <w:rFonts w:ascii="Trebuchet MS" w:hAnsi="Trebuchet MS"/>
                <w:b/>
                <w:color w:val="000000"/>
              </w:rPr>
              <w:t xml:space="preserve">statutory </w:t>
            </w:r>
            <w:r>
              <w:rPr>
                <w:rFonts w:ascii="Trebuchet MS" w:hAnsi="Trebuchet MS"/>
                <w:b/>
                <w:color w:val="000000"/>
              </w:rPr>
              <w:t>guidance</w:t>
            </w:r>
            <w:r w:rsidR="008451C2">
              <w:rPr>
                <w:rFonts w:ascii="Trebuchet MS" w:hAnsi="Trebuchet MS"/>
                <w:b/>
                <w:color w:val="000000"/>
              </w:rPr>
              <w:t xml:space="preserve"> and best practice guidelines</w:t>
            </w:r>
          </w:p>
          <w:p w:rsidR="00B64753" w:rsidRPr="00B64753" w:rsidRDefault="009027F8">
            <w:pPr>
              <w:numPr>
                <w:ilvl w:val="12"/>
                <w:numId w:val="0"/>
              </w:numPr>
              <w:rPr>
                <w:rFonts w:ascii="Trebuchet MS" w:hAnsi="Trebuchet MS"/>
              </w:rPr>
            </w:pPr>
            <w:hyperlink r:id="rId7" w:history="1">
              <w:r w:rsidR="00B64753" w:rsidRPr="00B64753">
                <w:rPr>
                  <w:rStyle w:val="Hyperlink"/>
                  <w:rFonts w:ascii="Trebuchet MS" w:hAnsi="Trebuchet MS"/>
                </w:rPr>
                <w:t>The Equalities Act 2010 and schools,  DfE 2014</w:t>
              </w:r>
            </w:hyperlink>
          </w:p>
          <w:p w:rsidR="00BD5141" w:rsidRPr="00B64753" w:rsidRDefault="009027F8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hyperlink r:id="rId8" w:history="1">
              <w:r w:rsidR="00BD5141" w:rsidRPr="00B64753">
                <w:rPr>
                  <w:rStyle w:val="Hyperlink"/>
                  <w:rFonts w:ascii="Trebuchet MS" w:hAnsi="Trebuchet MS"/>
                </w:rPr>
                <w:t>Preventing and Tackling Bullying, DfE 2014</w:t>
              </w:r>
            </w:hyperlink>
          </w:p>
          <w:p w:rsidR="00BD5141" w:rsidRPr="00867201" w:rsidRDefault="00867201">
            <w:pPr>
              <w:numPr>
                <w:ilvl w:val="12"/>
                <w:numId w:val="0"/>
              </w:numPr>
              <w:rPr>
                <w:rStyle w:val="Hyperlink"/>
                <w:rFonts w:ascii="Trebuchet MS" w:hAnsi="Trebuchet MS"/>
              </w:rPr>
            </w:pPr>
            <w:r>
              <w:rPr>
                <w:rStyle w:val="Hyperlink"/>
                <w:rFonts w:ascii="Trebuchet MS" w:hAnsi="Trebuchet MS"/>
              </w:rPr>
              <w:fldChar w:fldCharType="begin"/>
            </w:r>
            <w:r>
              <w:rPr>
                <w:rStyle w:val="Hyperlink"/>
                <w:rFonts w:ascii="Trebuchet MS" w:hAnsi="Trebuchet MS"/>
              </w:rPr>
              <w:instrText xml:space="preserve"> HYPERLINK "https://www.gov.uk/government/publications/keeping-children-safe-in-education--2" </w:instrText>
            </w:r>
            <w:r>
              <w:rPr>
                <w:rStyle w:val="Hyperlink"/>
                <w:rFonts w:ascii="Trebuchet MS" w:hAnsi="Trebuchet MS"/>
              </w:rPr>
              <w:fldChar w:fldCharType="separate"/>
            </w:r>
            <w:r w:rsidR="00BD5141" w:rsidRPr="00867201">
              <w:rPr>
                <w:rStyle w:val="Hyperlink"/>
                <w:rFonts w:ascii="Trebuchet MS" w:hAnsi="Trebuchet MS"/>
              </w:rPr>
              <w:t xml:space="preserve">Keeping Children Safe in Education, </w:t>
            </w:r>
            <w:r w:rsidRPr="00867201">
              <w:rPr>
                <w:rStyle w:val="Hyperlink"/>
                <w:rFonts w:ascii="Trebuchet MS" w:hAnsi="Trebuchet MS"/>
              </w:rPr>
              <w:t>Inc</w:t>
            </w:r>
            <w:r>
              <w:rPr>
                <w:rStyle w:val="Hyperlink"/>
                <w:rFonts w:ascii="Trebuchet MS" w:hAnsi="Trebuchet MS"/>
              </w:rPr>
              <w:t>.</w:t>
            </w:r>
            <w:r w:rsidRPr="00867201">
              <w:rPr>
                <w:rStyle w:val="Hyperlink"/>
                <w:rFonts w:ascii="Trebuchet MS" w:hAnsi="Trebuchet MS"/>
              </w:rPr>
              <w:t xml:space="preserve"> updated guidance as from 03 Sept 2018</w:t>
            </w:r>
          </w:p>
          <w:p w:rsidR="0036499F" w:rsidRPr="00B64753" w:rsidRDefault="00867201" w:rsidP="00F3717E">
            <w:pPr>
              <w:numPr>
                <w:ilvl w:val="12"/>
                <w:numId w:val="0"/>
              </w:numPr>
              <w:rPr>
                <w:rStyle w:val="Hyperlink"/>
                <w:rFonts w:ascii="Trebuchet MS" w:hAnsi="Trebuchet MS"/>
              </w:rPr>
            </w:pPr>
            <w:r>
              <w:rPr>
                <w:rStyle w:val="Hyperlink"/>
                <w:rFonts w:ascii="Trebuchet MS" w:hAnsi="Trebuchet MS"/>
              </w:rPr>
              <w:lastRenderedPageBreak/>
              <w:fldChar w:fldCharType="end"/>
            </w:r>
            <w:hyperlink r:id="rId9" w:history="1">
              <w:r w:rsidR="0036499F" w:rsidRPr="00B64753">
                <w:rPr>
                  <w:rStyle w:val="Hyperlink"/>
                  <w:rFonts w:ascii="Trebuchet MS" w:hAnsi="Trebuchet MS"/>
                </w:rPr>
                <w:t>Anti-Bullying Alliance – updating or reviewing your policy</w:t>
              </w:r>
            </w:hyperlink>
            <w:r w:rsidR="00C36FC5" w:rsidRPr="00B64753">
              <w:rPr>
                <w:rStyle w:val="Hyperlink"/>
                <w:rFonts w:ascii="Trebuchet MS" w:hAnsi="Trebuchet MS"/>
              </w:rPr>
              <w:t xml:space="preserve"> </w:t>
            </w:r>
          </w:p>
          <w:p w:rsidR="00B64753" w:rsidRDefault="009027F8" w:rsidP="00F3717E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hyperlink r:id="rId10" w:history="1">
              <w:r w:rsidR="00BC565C" w:rsidRPr="00BC565C">
                <w:rPr>
                  <w:rStyle w:val="Hyperlink"/>
                  <w:rFonts w:ascii="Trebuchet MS" w:hAnsi="Trebuchet MS"/>
                </w:rPr>
                <w:t>Stonewall</w:t>
              </w:r>
            </w:hyperlink>
            <w:r w:rsidR="00BC565C">
              <w:rPr>
                <w:rFonts w:ascii="Trebuchet MS" w:hAnsi="Trebuchet MS"/>
                <w:color w:val="000000"/>
              </w:rPr>
              <w:t xml:space="preserve"> best practice education resource and toolkits</w:t>
            </w:r>
            <w:r w:rsidR="00867201">
              <w:rPr>
                <w:rFonts w:ascii="Trebuchet MS" w:hAnsi="Trebuchet MS"/>
                <w:color w:val="000000"/>
              </w:rPr>
              <w:t>:</w:t>
            </w:r>
          </w:p>
          <w:p w:rsidR="00BC565C" w:rsidRDefault="009027F8" w:rsidP="00867201">
            <w:pPr>
              <w:numPr>
                <w:ilvl w:val="12"/>
                <w:numId w:val="0"/>
              </w:numPr>
              <w:ind w:left="596" w:hanging="283"/>
              <w:rPr>
                <w:rFonts w:ascii="Trebuchet MS" w:hAnsi="Trebuchet MS"/>
                <w:color w:val="000000"/>
              </w:rPr>
            </w:pPr>
            <w:hyperlink r:id="rId11" w:history="1">
              <w:r w:rsidR="00BC565C" w:rsidRPr="00BC565C">
                <w:rPr>
                  <w:rStyle w:val="Hyperlink"/>
                  <w:rFonts w:ascii="Trebuchet MS" w:hAnsi="Trebuchet MS"/>
                </w:rPr>
                <w:t>Early Years</w:t>
              </w:r>
            </w:hyperlink>
            <w:r w:rsidR="00BC565C">
              <w:rPr>
                <w:rFonts w:ascii="Trebuchet MS" w:hAnsi="Trebuchet MS"/>
                <w:color w:val="000000"/>
              </w:rPr>
              <w:t xml:space="preserve"> – celebrating difference and challenging gender stereotypes</w:t>
            </w:r>
          </w:p>
          <w:p w:rsidR="00BC565C" w:rsidRDefault="009027F8" w:rsidP="00867201">
            <w:pPr>
              <w:numPr>
                <w:ilvl w:val="12"/>
                <w:numId w:val="0"/>
              </w:numPr>
              <w:ind w:left="596" w:hanging="283"/>
              <w:rPr>
                <w:rFonts w:ascii="Trebuchet MS" w:hAnsi="Trebuchet MS"/>
                <w:color w:val="000000"/>
              </w:rPr>
            </w:pPr>
            <w:hyperlink r:id="rId12" w:history="1">
              <w:r w:rsidR="00BC565C" w:rsidRPr="00867201">
                <w:rPr>
                  <w:rStyle w:val="Hyperlink"/>
                  <w:rFonts w:ascii="Trebuchet MS" w:hAnsi="Trebuchet MS"/>
                </w:rPr>
                <w:t>Primary</w:t>
              </w:r>
            </w:hyperlink>
            <w:r w:rsidR="00BC565C">
              <w:rPr>
                <w:rFonts w:ascii="Trebuchet MS" w:hAnsi="Trebuchet MS"/>
                <w:color w:val="000000"/>
              </w:rPr>
              <w:t xml:space="preserve"> - preventing and tackling homophobic, biphobic and transphobic bullying</w:t>
            </w:r>
            <w:r w:rsidR="003C410F">
              <w:rPr>
                <w:rFonts w:ascii="Trebuchet MS" w:hAnsi="Trebuchet MS"/>
                <w:color w:val="000000"/>
              </w:rPr>
              <w:t>, including a pupil version of a sample school policy</w:t>
            </w:r>
          </w:p>
          <w:p w:rsidR="00BC565C" w:rsidRDefault="009027F8" w:rsidP="00867201">
            <w:pPr>
              <w:numPr>
                <w:ilvl w:val="12"/>
                <w:numId w:val="0"/>
              </w:numPr>
              <w:ind w:left="596" w:hanging="283"/>
              <w:rPr>
                <w:rFonts w:ascii="Trebuchet MS" w:hAnsi="Trebuchet MS"/>
                <w:color w:val="000000"/>
              </w:rPr>
            </w:pPr>
            <w:hyperlink r:id="rId13" w:history="1">
              <w:r w:rsidR="00BC565C" w:rsidRPr="00BC565C">
                <w:rPr>
                  <w:rStyle w:val="Hyperlink"/>
                  <w:rFonts w:ascii="Trebuchet MS" w:hAnsi="Trebuchet MS"/>
                </w:rPr>
                <w:t>Secondary</w:t>
              </w:r>
            </w:hyperlink>
            <w:r w:rsidR="00BC565C">
              <w:rPr>
                <w:rFonts w:ascii="Trebuchet MS" w:hAnsi="Trebuchet MS"/>
                <w:color w:val="000000"/>
              </w:rPr>
              <w:t xml:space="preserve"> – preventing and tackling homophobic, biphobic and transphobic bullying</w:t>
            </w:r>
          </w:p>
          <w:p w:rsidR="00867201" w:rsidRPr="00BD5141" w:rsidRDefault="009027F8" w:rsidP="00867201">
            <w:pPr>
              <w:numPr>
                <w:ilvl w:val="12"/>
                <w:numId w:val="0"/>
              </w:numPr>
              <w:rPr>
                <w:rFonts w:ascii="Trebuchet MS" w:hAnsi="Trebuchet MS"/>
                <w:color w:val="000000"/>
              </w:rPr>
            </w:pPr>
            <w:hyperlink r:id="rId14" w:history="1">
              <w:r w:rsidR="00867201" w:rsidRPr="00867201">
                <w:rPr>
                  <w:rStyle w:val="Hyperlink"/>
                  <w:rFonts w:ascii="Trebuchet MS" w:hAnsi="Trebuchet MS"/>
                </w:rPr>
                <w:t>Brighton and Hove Trans Inclusion Schools Toolkit 2</w:t>
              </w:r>
              <w:r w:rsidR="00867201" w:rsidRPr="00867201">
                <w:rPr>
                  <w:rStyle w:val="Hyperlink"/>
                  <w:rFonts w:ascii="Trebuchet MS" w:hAnsi="Trebuchet MS"/>
                  <w:vertAlign w:val="superscript"/>
                </w:rPr>
                <w:t>nd</w:t>
              </w:r>
              <w:r w:rsidR="00867201" w:rsidRPr="00867201">
                <w:rPr>
                  <w:rStyle w:val="Hyperlink"/>
                  <w:rFonts w:ascii="Trebuchet MS" w:hAnsi="Trebuchet MS"/>
                </w:rPr>
                <w:t xml:space="preserve"> edition</w:t>
              </w:r>
            </w:hyperlink>
          </w:p>
        </w:tc>
      </w:tr>
    </w:tbl>
    <w:p w:rsidR="003E53B4" w:rsidRDefault="003E53B4" w:rsidP="003E53B4">
      <w:pPr>
        <w:numPr>
          <w:ilvl w:val="12"/>
          <w:numId w:val="0"/>
        </w:numPr>
        <w:rPr>
          <w:rFonts w:ascii="Trebuchet MS" w:hAnsi="Trebuchet MS"/>
          <w:b/>
          <w:color w:val="000000"/>
        </w:rPr>
      </w:pPr>
    </w:p>
    <w:p w:rsidR="003E53B4" w:rsidRDefault="003E53B4" w:rsidP="003E53B4">
      <w:pPr>
        <w:numPr>
          <w:ilvl w:val="12"/>
          <w:numId w:val="0"/>
        </w:numPr>
        <w:rPr>
          <w:rFonts w:ascii="Trebuchet MS" w:hAnsi="Trebuchet MS"/>
        </w:rPr>
      </w:pPr>
    </w:p>
    <w:p w:rsidR="003E53B4" w:rsidRPr="008451C2" w:rsidRDefault="008451C2" w:rsidP="008451C2">
      <w:pPr>
        <w:tabs>
          <w:tab w:val="left" w:pos="567"/>
        </w:tabs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1.2   </w:t>
      </w:r>
      <w:r w:rsidR="00465E1A" w:rsidRPr="008451C2">
        <w:rPr>
          <w:rFonts w:ascii="Trebuchet MS" w:hAnsi="Trebuchet MS"/>
          <w:b/>
        </w:rPr>
        <w:t>A clear r</w:t>
      </w:r>
      <w:r w:rsidR="003E53B4" w:rsidRPr="008451C2">
        <w:rPr>
          <w:rFonts w:ascii="Trebuchet MS" w:hAnsi="Trebuchet MS"/>
          <w:b/>
        </w:rPr>
        <w:t>ationale</w:t>
      </w:r>
      <w:r w:rsidR="00465E1A" w:rsidRPr="008451C2">
        <w:rPr>
          <w:rFonts w:ascii="Trebuchet MS" w:hAnsi="Trebuchet MS"/>
          <w:b/>
        </w:rPr>
        <w:t xml:space="preserve"> should be given: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3E53B4" w:rsidTr="003E53B4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Aim: </w:t>
            </w:r>
            <w:r>
              <w:rPr>
                <w:rFonts w:ascii="Trebuchet MS" w:hAnsi="Trebuchet MS"/>
              </w:rPr>
              <w:t xml:space="preserve"> </w:t>
            </w:r>
          </w:p>
          <w:p w:rsidR="003E53B4" w:rsidRDefault="00867201" w:rsidP="00737C9A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E.g</w:t>
            </w:r>
            <w:r w:rsidR="00737C9A">
              <w:rPr>
                <w:rFonts w:ascii="Trebuchet MS" w:hAnsi="Trebuchet MS"/>
              </w:rPr>
              <w:t>. T</w:t>
            </w:r>
            <w:r w:rsidR="003E53B4">
              <w:rPr>
                <w:rFonts w:ascii="Trebuchet MS" w:hAnsi="Trebuchet MS"/>
              </w:rPr>
              <w:t>o ensure that the whole school community understands that bullying is not acceptable in school and will not be tolerated</w:t>
            </w:r>
            <w:r w:rsidR="00737C9A">
              <w:rPr>
                <w:rFonts w:ascii="Trebuchet MS" w:hAnsi="Trebuchet MS"/>
              </w:rPr>
              <w:t>.</w:t>
            </w:r>
            <w:r w:rsidR="003E53B4">
              <w:rPr>
                <w:rFonts w:ascii="Trebuchet MS" w:hAnsi="Trebuchet MS"/>
              </w:rPr>
              <w:t xml:space="preserve"> </w:t>
            </w:r>
            <w:r w:rsidR="00737C9A">
              <w:rPr>
                <w:rFonts w:ascii="Trebuchet MS" w:hAnsi="Trebuchet MS"/>
              </w:rPr>
              <w:t xml:space="preserve">An anti-bullying culture in our school means </w:t>
            </w:r>
            <w:r w:rsidR="003E53B4">
              <w:rPr>
                <w:rFonts w:ascii="Trebuchet MS" w:hAnsi="Trebuchet MS"/>
              </w:rPr>
              <w:t>that ev</w:t>
            </w:r>
            <w:r w:rsidR="00737C9A">
              <w:rPr>
                <w:rFonts w:ascii="Trebuchet MS" w:hAnsi="Trebuchet MS"/>
              </w:rPr>
              <w:t>eryone feels</w:t>
            </w:r>
            <w:r w:rsidR="003E53B4">
              <w:rPr>
                <w:rFonts w:ascii="Trebuchet MS" w:hAnsi="Trebuchet MS"/>
              </w:rPr>
              <w:t xml:space="preserve"> safe</w:t>
            </w:r>
            <w:r w:rsidR="00737C9A">
              <w:rPr>
                <w:rFonts w:ascii="Trebuchet MS" w:hAnsi="Trebuchet MS"/>
              </w:rPr>
              <w:t>, and can learn in a supportive and</w:t>
            </w:r>
            <w:r w:rsidR="003E53B4">
              <w:rPr>
                <w:rFonts w:ascii="Trebuchet MS" w:hAnsi="Trebuchet MS"/>
              </w:rPr>
              <w:t xml:space="preserve"> caring environment.</w:t>
            </w:r>
          </w:p>
        </w:tc>
      </w:tr>
      <w:tr w:rsidR="003E53B4" w:rsidTr="003E53B4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Definition: </w:t>
            </w:r>
          </w:p>
          <w:p w:rsidR="00BD5141" w:rsidRPr="0036499F" w:rsidRDefault="00BD5141">
            <w:pPr>
              <w:rPr>
                <w:rFonts w:ascii="Trebuchet MS" w:hAnsi="Trebuchet MS"/>
              </w:rPr>
            </w:pPr>
            <w:r w:rsidRPr="0036499F">
              <w:rPr>
                <w:rFonts w:ascii="Trebuchet MS" w:hAnsi="Trebuchet MS"/>
              </w:rPr>
              <w:t>Bullying:-</w:t>
            </w:r>
          </w:p>
          <w:p w:rsidR="00BD5141" w:rsidRPr="00BD5141" w:rsidRDefault="00BD5141" w:rsidP="00BD514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</w:t>
            </w:r>
            <w:r w:rsidRPr="00BD5141">
              <w:rPr>
                <w:rFonts w:ascii="Trebuchet MS" w:hAnsi="Trebuchet MS"/>
              </w:rPr>
              <w:t>oes on for a while or happens regularly</w:t>
            </w:r>
          </w:p>
          <w:p w:rsidR="00BD5141" w:rsidRDefault="00BD5141" w:rsidP="00BD514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</w:t>
            </w:r>
            <w:r w:rsidR="00580E1C">
              <w:rPr>
                <w:rFonts w:ascii="Trebuchet MS" w:hAnsi="Trebuchet MS"/>
              </w:rPr>
              <w:t>s deliberate; t</w:t>
            </w:r>
            <w:r w:rsidRPr="00BD5141">
              <w:rPr>
                <w:rFonts w:ascii="Trebuchet MS" w:hAnsi="Trebuchet MS"/>
              </w:rPr>
              <w:t xml:space="preserve">he other person </w:t>
            </w:r>
            <w:r>
              <w:rPr>
                <w:rFonts w:ascii="Trebuchet MS" w:hAnsi="Trebuchet MS"/>
              </w:rPr>
              <w:t xml:space="preserve">or persons wants to hurt, humiliate or harm to </w:t>
            </w:r>
            <w:r w:rsidR="005F2193">
              <w:rPr>
                <w:rFonts w:ascii="Trebuchet MS" w:hAnsi="Trebuchet MS"/>
              </w:rPr>
              <w:t>the person</w:t>
            </w:r>
          </w:p>
          <w:p w:rsidR="00BD5141" w:rsidRDefault="00BD5141" w:rsidP="00BD514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involves someone (or several people) who are stronger in some way than the person being bullied. The person doing the bullying has more power</w:t>
            </w:r>
            <w:r w:rsidR="005F2193">
              <w:rPr>
                <w:rFonts w:ascii="Trebuchet MS" w:hAnsi="Trebuchet MS"/>
              </w:rPr>
              <w:t>; they may be older, stronger (possibly both physically and emotionally), there may be more than one or they have some ‘hold’ over the person.</w:t>
            </w:r>
          </w:p>
          <w:p w:rsidR="00737C9A" w:rsidRDefault="00737C9A" w:rsidP="00BD514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may be perceived as peer pressure</w:t>
            </w:r>
          </w:p>
          <w:p w:rsidR="00737C9A" w:rsidRDefault="00737C9A" w:rsidP="00BD5141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may go unreported if children do not feel safe to report it</w:t>
            </w:r>
          </w:p>
          <w:p w:rsidR="00B64753" w:rsidRDefault="00B64753" w:rsidP="00B64753">
            <w:pPr>
              <w:pStyle w:val="ListParagraph"/>
              <w:rPr>
                <w:rFonts w:ascii="Trebuchet MS" w:hAnsi="Trebuchet MS"/>
              </w:rPr>
            </w:pPr>
          </w:p>
          <w:p w:rsidR="003E53B4" w:rsidRDefault="003E53B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sort of behaviour do</w:t>
            </w:r>
            <w:r w:rsidR="00BD5141">
              <w:rPr>
                <w:rFonts w:ascii="Trebuchet MS" w:hAnsi="Trebuchet MS"/>
              </w:rPr>
              <w:t xml:space="preserve">es the </w:t>
            </w:r>
            <w:r>
              <w:rPr>
                <w:rFonts w:ascii="Trebuchet MS" w:hAnsi="Trebuchet MS"/>
              </w:rPr>
              <w:t>school community define as bullying?</w:t>
            </w:r>
          </w:p>
          <w:p w:rsidR="003E53B4" w:rsidRDefault="003E53B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Explicitly mention:</w:t>
            </w:r>
          </w:p>
          <w:p w:rsidR="003E53B4" w:rsidRDefault="003E53B4">
            <w:pPr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Emotional, Physical, Verbal, Indirect and all forms of </w:t>
            </w:r>
            <w:r w:rsidR="00580E1C">
              <w:rPr>
                <w:rFonts w:ascii="Trebuchet MS" w:hAnsi="Trebuchet MS"/>
              </w:rPr>
              <w:t>online</w:t>
            </w:r>
            <w:r w:rsidR="00B64753">
              <w:rPr>
                <w:rFonts w:ascii="Trebuchet MS" w:hAnsi="Trebuchet MS"/>
              </w:rPr>
              <w:t xml:space="preserve"> bullying</w:t>
            </w:r>
            <w:r>
              <w:rPr>
                <w:rFonts w:ascii="Trebuchet MS" w:hAnsi="Trebuchet MS"/>
              </w:rPr>
              <w:t>.</w:t>
            </w:r>
          </w:p>
          <w:p w:rsidR="00580E1C" w:rsidRPr="00580E1C" w:rsidRDefault="003E53B4" w:rsidP="00B64753">
            <w:pPr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Bullying related to </w:t>
            </w:r>
            <w:r w:rsidR="00B64753">
              <w:rPr>
                <w:rFonts w:ascii="Trebuchet MS" w:hAnsi="Trebuchet MS"/>
              </w:rPr>
              <w:t xml:space="preserve">protected characteristics as identified in The Equalities Act 2010,(for both children and adults):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age,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lastRenderedPageBreak/>
              <w:t xml:space="preserve">disability,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gender reassignment,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race,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religion or belief,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sex,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sexual orientation, </w:t>
            </w:r>
          </w:p>
          <w:p w:rsidR="00580E1C" w:rsidRDefault="00B64753" w:rsidP="00580E1C">
            <w:pPr>
              <w:ind w:left="720"/>
              <w:rPr>
                <w:rFonts w:ascii="Trebuchet MS" w:hAnsi="Trebuchet MS"/>
              </w:rPr>
            </w:pPr>
            <w:r w:rsidRPr="00B64753">
              <w:rPr>
                <w:rFonts w:ascii="Trebuchet MS" w:hAnsi="Trebuchet MS"/>
              </w:rPr>
              <w:t xml:space="preserve">marriage and civil partnership and </w:t>
            </w:r>
          </w:p>
          <w:p w:rsidR="003E53B4" w:rsidRDefault="00B64753" w:rsidP="00580E1C">
            <w:pPr>
              <w:ind w:left="7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pregnancy and maternity</w:t>
            </w:r>
          </w:p>
          <w:p w:rsidR="00BD5141" w:rsidRPr="005F2193" w:rsidRDefault="003E53B4" w:rsidP="00BD5141">
            <w:pPr>
              <w:numPr>
                <w:ilvl w:val="0"/>
                <w:numId w:val="2"/>
              </w:num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Bullying of and by school staff</w:t>
            </w:r>
          </w:p>
        </w:tc>
      </w:tr>
    </w:tbl>
    <w:p w:rsidR="00F22F3A" w:rsidRDefault="00F22F3A" w:rsidP="007F2777">
      <w:pPr>
        <w:rPr>
          <w:rFonts w:ascii="Trebuchet MS" w:hAnsi="Trebuchet MS"/>
          <w:b/>
        </w:rPr>
      </w:pPr>
    </w:p>
    <w:p w:rsidR="003E53B4" w:rsidRDefault="003E53B4" w:rsidP="003E53B4">
      <w:pPr>
        <w:rPr>
          <w:rFonts w:ascii="Trebuchet MS" w:hAnsi="Trebuchet MS"/>
        </w:rPr>
      </w:pPr>
    </w:p>
    <w:p w:rsidR="00AB3EED" w:rsidRDefault="00580E1C" w:rsidP="00580E1C">
      <w:pPr>
        <w:pStyle w:val="ListParagraph"/>
        <w:numPr>
          <w:ilvl w:val="0"/>
          <w:numId w:val="1"/>
        </w:numPr>
        <w:tabs>
          <w:tab w:val="left" w:pos="567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</w:t>
      </w:r>
      <w:r w:rsidR="008451C2" w:rsidRPr="00AB3EED">
        <w:rPr>
          <w:rFonts w:ascii="Trebuchet MS" w:hAnsi="Trebuchet MS"/>
          <w:b/>
          <w:sz w:val="28"/>
          <w:szCs w:val="28"/>
        </w:rPr>
        <w:t>Implementation</w:t>
      </w:r>
    </w:p>
    <w:p w:rsidR="008868A8" w:rsidRPr="008868A8" w:rsidRDefault="008868A8" w:rsidP="008868A8">
      <w:pPr>
        <w:rPr>
          <w:rFonts w:ascii="Trebuchet MS" w:hAnsi="Trebuchet MS"/>
          <w:sz w:val="22"/>
          <w:szCs w:val="22"/>
        </w:rPr>
      </w:pPr>
      <w:r w:rsidRPr="008868A8">
        <w:rPr>
          <w:rFonts w:ascii="Trebuchet MS" w:hAnsi="Trebuchet MS"/>
          <w:sz w:val="22"/>
          <w:szCs w:val="22"/>
        </w:rPr>
        <w:t>Senior management should give a clear lead so that staff know what to do when an</w:t>
      </w:r>
      <w:r>
        <w:rPr>
          <w:rFonts w:ascii="Trebuchet MS" w:hAnsi="Trebuchet MS"/>
          <w:sz w:val="22"/>
          <w:szCs w:val="22"/>
        </w:rPr>
        <w:t xml:space="preserve"> </w:t>
      </w:r>
      <w:r w:rsidRPr="008868A8">
        <w:rPr>
          <w:rFonts w:ascii="Trebuchet MS" w:hAnsi="Trebuchet MS"/>
          <w:sz w:val="22"/>
          <w:szCs w:val="22"/>
        </w:rPr>
        <w:t>incident is reported. They need to act consistently. An anti-bullying launch involving</w:t>
      </w:r>
      <w:r>
        <w:rPr>
          <w:rFonts w:ascii="Trebuchet MS" w:hAnsi="Trebuchet MS"/>
          <w:sz w:val="22"/>
          <w:szCs w:val="22"/>
        </w:rPr>
        <w:t xml:space="preserve"> </w:t>
      </w:r>
      <w:r w:rsidRPr="008868A8">
        <w:rPr>
          <w:rFonts w:ascii="Trebuchet MS" w:hAnsi="Trebuchet MS"/>
          <w:sz w:val="22"/>
          <w:szCs w:val="22"/>
        </w:rPr>
        <w:t>the whole school will help</w:t>
      </w:r>
      <w:r>
        <w:rPr>
          <w:rFonts w:ascii="Trebuchet MS" w:hAnsi="Trebuchet MS"/>
          <w:sz w:val="22"/>
          <w:szCs w:val="22"/>
        </w:rPr>
        <w:t>.</w:t>
      </w:r>
    </w:p>
    <w:p w:rsidR="00AB3EED" w:rsidRPr="00AB3EED" w:rsidRDefault="00AB3EED" w:rsidP="00AB3EED">
      <w:pPr>
        <w:tabs>
          <w:tab w:val="left" w:pos="567"/>
        </w:tabs>
        <w:rPr>
          <w:rFonts w:ascii="Trebuchet MS" w:hAnsi="Trebuchet MS"/>
        </w:rPr>
      </w:pPr>
      <w:r w:rsidRPr="00AB3EED">
        <w:rPr>
          <w:rFonts w:ascii="Trebuchet MS" w:hAnsi="Trebuchet MS"/>
          <w:b/>
        </w:rPr>
        <w:t>2.1  Methods to prevent and reduce bullying</w:t>
      </w:r>
    </w:p>
    <w:tbl>
      <w:tblPr>
        <w:tblpPr w:leftFromText="180" w:rightFromText="180" w:vertAnchor="text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AB3EED" w:rsidTr="00AB3EED"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D" w:rsidRDefault="00AB3EED" w:rsidP="00AB3EE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Preventative measures:</w:t>
            </w:r>
          </w:p>
          <w:p w:rsidR="00AB3EED" w:rsidRDefault="00AB3EED" w:rsidP="00AB3E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measures are in place to prevent bullying?</w:t>
            </w:r>
          </w:p>
          <w:p w:rsidR="00AB3EED" w:rsidRDefault="00AB3EED" w:rsidP="00AB3E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Explicitly mention:</w:t>
            </w:r>
          </w:p>
          <w:p w:rsidR="00AB3EED" w:rsidRDefault="00AB3EED" w:rsidP="00AB3EED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Peer led initiatives e.g. peer mediation, conflict resolution, restorative justice, rights respecting schools</w:t>
            </w:r>
          </w:p>
          <w:p w:rsidR="00AB3EED" w:rsidRDefault="00AB3EED" w:rsidP="00AB3EED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you promote equality and celebrate difference e.g. assemblies, PSHE lessons</w:t>
            </w:r>
          </w:p>
          <w:p w:rsidR="00AB3EED" w:rsidRDefault="00AB3EED" w:rsidP="00AB3EED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Signposting outside support agencies</w:t>
            </w:r>
          </w:p>
          <w:p w:rsidR="00AB3EED" w:rsidRDefault="00AB3EED" w:rsidP="00AB3EED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you regularly raise awareness of bullying issues</w:t>
            </w:r>
          </w:p>
          <w:p w:rsidR="00AB3EED" w:rsidRDefault="00AB3EED" w:rsidP="00AB3E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Include strategies to reduce bullying:</w:t>
            </w:r>
          </w:p>
          <w:p w:rsidR="00AB3EED" w:rsidRPr="00737C9A" w:rsidRDefault="00AB3EED" w:rsidP="00AB3EED">
            <w:pPr>
              <w:pStyle w:val="ListParagraph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 a plan of</w:t>
            </w:r>
            <w:r w:rsidRPr="00737C9A">
              <w:rPr>
                <w:rFonts w:ascii="Trebuchet MS" w:hAnsi="Trebuchet MS"/>
              </w:rPr>
              <w:t xml:space="preserve"> teaching and learning / curriculum time for anti-bullying within the PSHE scheme of work for each year group</w:t>
            </w:r>
          </w:p>
        </w:tc>
      </w:tr>
    </w:tbl>
    <w:p w:rsidR="00AB3EED" w:rsidRPr="00AB3EED" w:rsidRDefault="00AB3EED" w:rsidP="00AB3EED">
      <w:pPr>
        <w:pStyle w:val="ListParagraph"/>
        <w:rPr>
          <w:rFonts w:ascii="Trebuchet MS" w:hAnsi="Trebuchet MS"/>
          <w:b/>
        </w:rPr>
      </w:pPr>
    </w:p>
    <w:p w:rsidR="00737C9A" w:rsidRPr="00AB3EED" w:rsidRDefault="008451C2" w:rsidP="00AB3EED">
      <w:pPr>
        <w:rPr>
          <w:rFonts w:ascii="Trebuchet MS" w:hAnsi="Trebuchet MS"/>
          <w:b/>
        </w:rPr>
      </w:pPr>
      <w:r w:rsidRPr="00AB3EED">
        <w:rPr>
          <w:rFonts w:ascii="Trebuchet MS" w:hAnsi="Trebuchet MS"/>
          <w:b/>
        </w:rPr>
        <w:t xml:space="preserve"> </w:t>
      </w:r>
    </w:p>
    <w:p w:rsidR="00465E1A" w:rsidRPr="00AB3EED" w:rsidRDefault="00737C9A" w:rsidP="00AB3EED">
      <w:pPr>
        <w:pStyle w:val="ListParagraph"/>
        <w:numPr>
          <w:ilvl w:val="1"/>
          <w:numId w:val="20"/>
        </w:numPr>
        <w:tabs>
          <w:tab w:val="left" w:pos="567"/>
        </w:tabs>
        <w:rPr>
          <w:rFonts w:ascii="Trebuchet MS" w:hAnsi="Trebuchet MS"/>
          <w:b/>
        </w:rPr>
      </w:pPr>
      <w:r w:rsidRPr="00AB3EED">
        <w:rPr>
          <w:rFonts w:ascii="Trebuchet MS" w:hAnsi="Trebuchet MS"/>
          <w:b/>
        </w:rPr>
        <w:lastRenderedPageBreak/>
        <w:t>R</w:t>
      </w:r>
      <w:r w:rsidR="008451C2" w:rsidRPr="00AB3EED">
        <w:rPr>
          <w:rFonts w:ascii="Trebuchet MS" w:hAnsi="Trebuchet MS"/>
          <w:b/>
        </w:rPr>
        <w:t>eporting and r</w:t>
      </w:r>
      <w:r w:rsidR="00465E1A" w:rsidRPr="00AB3EED">
        <w:rPr>
          <w:rFonts w:ascii="Trebuchet MS" w:hAnsi="Trebuchet MS"/>
          <w:b/>
        </w:rPr>
        <w:t>ecording Incidents</w:t>
      </w:r>
    </w:p>
    <w:p w:rsidR="00465E1A" w:rsidRPr="00AB3EED" w:rsidRDefault="00465E1A" w:rsidP="00AB3EED">
      <w:pPr>
        <w:pStyle w:val="ListParagraph"/>
        <w:ind w:left="0"/>
        <w:rPr>
          <w:rFonts w:ascii="Trebuchet MS" w:hAnsi="Trebuchet MS"/>
          <w:sz w:val="22"/>
          <w:szCs w:val="22"/>
        </w:rPr>
      </w:pPr>
      <w:r w:rsidRPr="00AB3EED">
        <w:rPr>
          <w:rFonts w:ascii="Trebuchet MS" w:hAnsi="Trebuchet MS"/>
          <w:sz w:val="22"/>
          <w:szCs w:val="22"/>
        </w:rPr>
        <w:t>When bullying does occur schools need to have a comprehensive system of recording each incident. There is no longer a duty to report these incidents of bullying to the local authority but a school has to have clear recording methods.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465E1A" w:rsidTr="00A61249">
        <w:trPr>
          <w:trHeight w:val="580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A" w:rsidRDefault="00465E1A" w:rsidP="00A612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Reporting: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pupils report bullying?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parents report bullying?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staff report bullying?</w:t>
            </w:r>
          </w:p>
        </w:tc>
      </w:tr>
      <w:tr w:rsidR="00465E1A" w:rsidTr="00A61249">
        <w:trPr>
          <w:trHeight w:val="580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1A" w:rsidRDefault="00465E1A" w:rsidP="00A61249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Recording: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are bullying incidents recorded?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will be done with this information, how will it inform practice and how will it be shared?</w:t>
            </w:r>
          </w:p>
          <w:p w:rsidR="00465E1A" w:rsidRDefault="00465E1A" w:rsidP="00465E1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Is recording policy and practice evidenced in the education safeguarding annual audit</w:t>
            </w:r>
          </w:p>
        </w:tc>
      </w:tr>
    </w:tbl>
    <w:p w:rsidR="00465E1A" w:rsidRDefault="00465E1A" w:rsidP="00465E1A">
      <w:pPr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p w:rsidR="00B64753" w:rsidRDefault="00B64753" w:rsidP="00737C9A">
      <w:pPr>
        <w:tabs>
          <w:tab w:val="left" w:pos="567"/>
        </w:tabs>
        <w:rPr>
          <w:rFonts w:ascii="Trebuchet MS" w:hAnsi="Trebuchet MS"/>
          <w:b/>
        </w:rPr>
      </w:pPr>
    </w:p>
    <w:p w:rsidR="003E53B4" w:rsidRDefault="00AB3EED" w:rsidP="00737C9A">
      <w:pPr>
        <w:tabs>
          <w:tab w:val="left" w:pos="567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>2.3</w:t>
      </w:r>
      <w:r w:rsidR="00737C9A">
        <w:rPr>
          <w:rFonts w:ascii="Trebuchet MS" w:hAnsi="Trebuchet MS"/>
          <w:b/>
        </w:rPr>
        <w:t xml:space="preserve">   </w:t>
      </w:r>
      <w:r w:rsidR="003E53B4">
        <w:rPr>
          <w:rFonts w:ascii="Trebuchet MS" w:hAnsi="Trebuchet MS"/>
          <w:b/>
        </w:rPr>
        <w:t>Responding to Incidents of Bullying</w:t>
      </w:r>
    </w:p>
    <w:p w:rsidR="00465E1A" w:rsidRPr="00AB3EED" w:rsidRDefault="008868A8" w:rsidP="00737C9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Each school must keep a record</w:t>
      </w:r>
      <w:r w:rsidR="00465E1A" w:rsidRPr="00AB3EED">
        <w:rPr>
          <w:rFonts w:ascii="Trebuchet MS" w:hAnsi="Trebuchet MS"/>
          <w:sz w:val="22"/>
          <w:szCs w:val="22"/>
        </w:rPr>
        <w:t xml:space="preserve"> of all actions taken when bullying is reported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3E53B4" w:rsidTr="008868A8">
        <w:trPr>
          <w:trHeight w:val="416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ED" w:rsidRDefault="003E53B4" w:rsidP="00EC686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Response:</w:t>
            </w:r>
          </w:p>
          <w:p w:rsidR="003E53B4" w:rsidRDefault="00AB3EED" w:rsidP="00EC686C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Acting consistently – explain how </w:t>
            </w:r>
            <w:r w:rsidR="003E53B4">
              <w:rPr>
                <w:rFonts w:ascii="Trebuchet MS" w:hAnsi="Trebuchet MS"/>
              </w:rPr>
              <w:t xml:space="preserve">staff </w:t>
            </w:r>
            <w:r>
              <w:rPr>
                <w:rFonts w:ascii="Trebuchet MS" w:hAnsi="Trebuchet MS"/>
              </w:rPr>
              <w:t xml:space="preserve">should </w:t>
            </w:r>
            <w:r w:rsidR="003E53B4">
              <w:rPr>
                <w:rFonts w:ascii="Trebuchet MS" w:hAnsi="Trebuchet MS"/>
              </w:rPr>
              <w:t>respond to a reported</w:t>
            </w:r>
            <w:r>
              <w:rPr>
                <w:rFonts w:ascii="Trebuchet MS" w:hAnsi="Trebuchet MS"/>
              </w:rPr>
              <w:t xml:space="preserve"> / observed</w:t>
            </w:r>
            <w:r w:rsidR="003E53B4">
              <w:rPr>
                <w:rFonts w:ascii="Trebuchet MS" w:hAnsi="Trebuchet MS"/>
              </w:rPr>
              <w:t xml:space="preserve"> bullying incident?</w:t>
            </w:r>
            <w:r>
              <w:rPr>
                <w:rFonts w:ascii="Trebuchet MS" w:hAnsi="Trebuchet MS"/>
              </w:rPr>
              <w:t xml:space="preserve"> </w:t>
            </w:r>
          </w:p>
          <w:p w:rsidR="005F2193" w:rsidRDefault="00246C9A" w:rsidP="005F2193">
            <w:p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E.g</w:t>
            </w:r>
            <w:r w:rsidR="005F2193">
              <w:rPr>
                <w:rFonts w:ascii="Trebuchet MS" w:hAnsi="Trebuchet MS"/>
              </w:rPr>
              <w:t>. is there a step b</w:t>
            </w:r>
            <w:r w:rsidR="00813F88">
              <w:rPr>
                <w:rFonts w:ascii="Trebuchet MS" w:hAnsi="Trebuchet MS"/>
              </w:rPr>
              <w:t>y step approach or flow diagram?</w:t>
            </w:r>
            <w:r w:rsidR="008451C2">
              <w:rPr>
                <w:rFonts w:ascii="Trebuchet MS" w:hAnsi="Trebuchet MS"/>
              </w:rPr>
              <w:t xml:space="preserve"> What is the timescale for responding to incidents of bullying?</w:t>
            </w:r>
          </w:p>
          <w:p w:rsidR="003E53B4" w:rsidRDefault="003E53B4" w:rsidP="00EC686C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sanctions or restorative processes are available?</w:t>
            </w:r>
          </w:p>
          <w:p w:rsidR="003E53B4" w:rsidRDefault="003E53B4" w:rsidP="00EC686C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are bullying incidents fed back to parents?</w:t>
            </w:r>
          </w:p>
          <w:p w:rsidR="008451C2" w:rsidRDefault="008451C2" w:rsidP="00EC686C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should children and / or parents do if they are not happy with the response</w:t>
            </w:r>
          </w:p>
          <w:p w:rsidR="008451C2" w:rsidRDefault="008451C2" w:rsidP="00EC686C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When does bullying turn into a safeguarding issue?</w:t>
            </w:r>
          </w:p>
        </w:tc>
      </w:tr>
      <w:tr w:rsidR="003E53B4" w:rsidTr="00EC686C">
        <w:trPr>
          <w:trHeight w:val="850"/>
        </w:trPr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 w:rsidP="00EC686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Support:</w:t>
            </w:r>
          </w:p>
          <w:p w:rsidR="003E53B4" w:rsidRDefault="003E53B4" w:rsidP="00EC686C">
            <w:pPr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support</w:t>
            </w:r>
            <w:r w:rsidR="005F2193">
              <w:rPr>
                <w:rFonts w:ascii="Trebuchet MS" w:hAnsi="Trebuchet MS"/>
              </w:rPr>
              <w:t xml:space="preserve"> or interventions</w:t>
            </w:r>
            <w:r>
              <w:rPr>
                <w:rFonts w:ascii="Trebuchet MS" w:hAnsi="Trebuchet MS"/>
              </w:rPr>
              <w:t xml:space="preserve"> will be offered to the bullied child?</w:t>
            </w:r>
          </w:p>
          <w:p w:rsidR="003E53B4" w:rsidRDefault="003E53B4" w:rsidP="00EC686C">
            <w:pPr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What support </w:t>
            </w:r>
            <w:r w:rsidR="005F2193">
              <w:rPr>
                <w:rFonts w:ascii="Trebuchet MS" w:hAnsi="Trebuchet MS"/>
              </w:rPr>
              <w:t xml:space="preserve">or intervention </w:t>
            </w:r>
            <w:r>
              <w:rPr>
                <w:rFonts w:ascii="Trebuchet MS" w:hAnsi="Trebuchet MS"/>
              </w:rPr>
              <w:t>might the bullying child be offered?</w:t>
            </w:r>
          </w:p>
          <w:p w:rsidR="003E53B4" w:rsidRDefault="003E53B4" w:rsidP="00EC686C">
            <w:pPr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What guidance</w:t>
            </w:r>
            <w:r w:rsidR="008451C2">
              <w:rPr>
                <w:rFonts w:ascii="Trebuchet MS" w:hAnsi="Trebuchet MS"/>
              </w:rPr>
              <w:t xml:space="preserve"> and support</w:t>
            </w:r>
            <w:r>
              <w:rPr>
                <w:rFonts w:ascii="Trebuchet MS" w:hAnsi="Trebuchet MS"/>
              </w:rPr>
              <w:t xml:space="preserve"> is provided for parents/carers?</w:t>
            </w:r>
          </w:p>
        </w:tc>
      </w:tr>
    </w:tbl>
    <w:p w:rsidR="003E53B4" w:rsidRDefault="003E53B4" w:rsidP="003E53B4">
      <w:pPr>
        <w:rPr>
          <w:rFonts w:ascii="Trebuchet MS" w:hAnsi="Trebuchet MS"/>
        </w:rPr>
      </w:pPr>
    </w:p>
    <w:p w:rsidR="00BF7BDB" w:rsidRDefault="00BF7BDB" w:rsidP="00AB3EED">
      <w:pPr>
        <w:tabs>
          <w:tab w:val="left" w:pos="567"/>
        </w:tabs>
        <w:rPr>
          <w:rFonts w:ascii="Trebuchet MS" w:hAnsi="Trebuchet MS"/>
          <w:b/>
        </w:rPr>
      </w:pPr>
    </w:p>
    <w:p w:rsidR="007F2777" w:rsidRPr="00246C9A" w:rsidRDefault="00246C9A" w:rsidP="00246C9A">
      <w:pPr>
        <w:tabs>
          <w:tab w:val="left" w:pos="567"/>
          <w:tab w:val="left" w:pos="709"/>
        </w:tabs>
        <w:rPr>
          <w:rFonts w:ascii="Trebuchet MS" w:hAnsi="Trebuchet MS"/>
          <w:b/>
          <w:sz w:val="28"/>
          <w:szCs w:val="28"/>
        </w:rPr>
      </w:pPr>
      <w:r w:rsidRPr="00246C9A">
        <w:rPr>
          <w:rFonts w:ascii="Trebuchet MS" w:hAnsi="Trebuchet MS"/>
          <w:b/>
          <w:sz w:val="28"/>
          <w:szCs w:val="28"/>
        </w:rPr>
        <w:t>3.</w:t>
      </w:r>
      <w:r w:rsidR="00AB3EED" w:rsidRPr="00246C9A">
        <w:rPr>
          <w:rFonts w:ascii="Trebuchet MS" w:hAnsi="Trebuchet MS"/>
          <w:b/>
          <w:sz w:val="28"/>
          <w:szCs w:val="28"/>
        </w:rPr>
        <w:t xml:space="preserve">   </w:t>
      </w:r>
      <w:r w:rsidR="003E53B4" w:rsidRPr="00246C9A">
        <w:rPr>
          <w:rFonts w:ascii="Trebuchet MS" w:hAnsi="Trebuchet MS"/>
          <w:b/>
          <w:sz w:val="28"/>
          <w:szCs w:val="28"/>
        </w:rPr>
        <w:t>Monitoring and Reviewing</w:t>
      </w:r>
    </w:p>
    <w:p w:rsidR="008868A8" w:rsidRPr="008868A8" w:rsidRDefault="008868A8" w:rsidP="00AB3EED">
      <w:pPr>
        <w:tabs>
          <w:tab w:val="left" w:pos="567"/>
        </w:tabs>
        <w:rPr>
          <w:rFonts w:ascii="Trebuchet MS" w:hAnsi="Trebuchet MS"/>
          <w:sz w:val="22"/>
          <w:szCs w:val="22"/>
        </w:rPr>
      </w:pPr>
      <w:r w:rsidRPr="008868A8">
        <w:rPr>
          <w:rFonts w:ascii="Trebuchet MS" w:hAnsi="Trebuchet MS"/>
          <w:sz w:val="22"/>
          <w:szCs w:val="22"/>
        </w:rPr>
        <w:t xml:space="preserve">What are the anticipated outcomes of the policy? How will the impact of the policy and procedures be measured? How will we know </w:t>
      </w:r>
      <w:r>
        <w:rPr>
          <w:rFonts w:ascii="Trebuchet MS" w:hAnsi="Trebuchet MS"/>
          <w:sz w:val="22"/>
          <w:szCs w:val="22"/>
        </w:rPr>
        <w:t>it i</w:t>
      </w:r>
      <w:r w:rsidRPr="008868A8">
        <w:rPr>
          <w:rFonts w:ascii="Trebuchet MS" w:hAnsi="Trebuchet MS"/>
          <w:sz w:val="22"/>
          <w:szCs w:val="22"/>
        </w:rPr>
        <w:t>s working?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7"/>
      </w:tblGrid>
      <w:tr w:rsidR="003E53B4" w:rsidTr="003E53B4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Monitoring:</w:t>
            </w:r>
          </w:p>
          <w:p w:rsidR="003E53B4" w:rsidRDefault="003E53B4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will monitor the implementation of the policy?</w:t>
            </w:r>
          </w:p>
          <w:p w:rsidR="003E53B4" w:rsidRDefault="003E53B4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will the policy be monitored?</w:t>
            </w:r>
          </w:p>
          <w:p w:rsidR="00C5644A" w:rsidRDefault="00C5644A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will bullying incidents and responses be monitored internally and by whom?</w:t>
            </w:r>
          </w:p>
          <w:p w:rsidR="00AB3EED" w:rsidRDefault="003E53B4" w:rsidP="00246C9A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do you make everyone in the community aware of the policy and their role in implementing it?</w:t>
            </w:r>
          </w:p>
          <w:p w:rsidR="00246C9A" w:rsidRPr="00246C9A" w:rsidRDefault="00246C9A" w:rsidP="00246C9A">
            <w:pPr>
              <w:numPr>
                <w:ilvl w:val="0"/>
                <w:numId w:val="7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data will be used to monitor impact (CPOMS, SIMS, and including pupil voice via the South Gloucestershire Online Pupil Survey)</w:t>
            </w:r>
          </w:p>
        </w:tc>
      </w:tr>
      <w:tr w:rsidR="003E53B4" w:rsidTr="003E53B4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3B4" w:rsidRDefault="003E53B4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Reviewing:</w:t>
            </w:r>
          </w:p>
          <w:p w:rsidR="003E53B4" w:rsidRDefault="003E53B4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Who will review this policy?</w:t>
            </w:r>
          </w:p>
          <w:p w:rsidR="003E53B4" w:rsidRDefault="003E53B4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often will the policy be reviewed?</w:t>
            </w:r>
          </w:p>
          <w:p w:rsidR="003E53B4" w:rsidRDefault="003E53B4" w:rsidP="005F2193">
            <w:pPr>
              <w:numPr>
                <w:ilvl w:val="0"/>
                <w:numId w:val="8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How will thi</w:t>
            </w:r>
            <w:r w:rsidR="005F2193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policy be reviewed?</w:t>
            </w:r>
            <w:bookmarkStart w:id="0" w:name="_GoBack"/>
            <w:bookmarkEnd w:id="0"/>
          </w:p>
        </w:tc>
      </w:tr>
    </w:tbl>
    <w:p w:rsidR="002B73F3" w:rsidRDefault="002B73F3" w:rsidP="005F2193"/>
    <w:sectPr w:rsidR="002B73F3" w:rsidSect="00F22F3A">
      <w:headerReference w:type="default" r:id="rId15"/>
      <w:footerReference w:type="default" r:id="rId16"/>
      <w:pgSz w:w="11906" w:h="16838"/>
      <w:pgMar w:top="1440" w:right="84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93" w:rsidRDefault="005F2193" w:rsidP="005F2193">
      <w:r>
        <w:separator/>
      </w:r>
    </w:p>
  </w:endnote>
  <w:endnote w:type="continuationSeparator" w:id="0">
    <w:p w:rsidR="005F2193" w:rsidRDefault="005F2193" w:rsidP="005F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959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193" w:rsidRDefault="005F21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193" w:rsidRDefault="005F2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93" w:rsidRDefault="005F2193" w:rsidP="005F2193">
      <w:r>
        <w:separator/>
      </w:r>
    </w:p>
  </w:footnote>
  <w:footnote w:type="continuationSeparator" w:id="0">
    <w:p w:rsidR="005F2193" w:rsidRDefault="005F2193" w:rsidP="005F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193" w:rsidRDefault="00B64753" w:rsidP="00B64753">
    <w:pPr>
      <w:pStyle w:val="Header"/>
      <w:tabs>
        <w:tab w:val="clear" w:pos="4513"/>
        <w:tab w:val="clear" w:pos="9026"/>
        <w:tab w:val="center" w:pos="4988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92A69" wp14:editId="7B2CE7CA">
          <wp:simplePos x="0" y="0"/>
          <wp:positionH relativeFrom="column">
            <wp:posOffset>2219325</wp:posOffset>
          </wp:positionH>
          <wp:positionV relativeFrom="paragraph">
            <wp:posOffset>-187325</wp:posOffset>
          </wp:positionV>
          <wp:extent cx="1381125" cy="425450"/>
          <wp:effectExtent l="0" t="0" r="9525" b="0"/>
          <wp:wrapThrough wrapText="bothSides">
            <wp:wrapPolygon edited="0">
              <wp:start x="0" y="0"/>
              <wp:lineTo x="0" y="20310"/>
              <wp:lineTo x="21451" y="20310"/>
              <wp:lineTo x="2145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9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5400675</wp:posOffset>
          </wp:positionH>
          <wp:positionV relativeFrom="page">
            <wp:posOffset>209550</wp:posOffset>
          </wp:positionV>
          <wp:extent cx="761305" cy="47625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193">
      <w:t>V</w:t>
    </w:r>
    <w:r w:rsidR="00246C9A">
      <w:t>5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D3B00"/>
    <w:multiLevelType w:val="hybridMultilevel"/>
    <w:tmpl w:val="40F42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2161"/>
    <w:multiLevelType w:val="multilevel"/>
    <w:tmpl w:val="59BE41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95175D"/>
    <w:multiLevelType w:val="multilevel"/>
    <w:tmpl w:val="030C52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217715D2"/>
    <w:multiLevelType w:val="hybridMultilevel"/>
    <w:tmpl w:val="B04AB4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0E8E"/>
    <w:multiLevelType w:val="hybridMultilevel"/>
    <w:tmpl w:val="387A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302B"/>
    <w:multiLevelType w:val="multilevel"/>
    <w:tmpl w:val="479C98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3B5D26B5"/>
    <w:multiLevelType w:val="multilevel"/>
    <w:tmpl w:val="637E4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972E75"/>
    <w:multiLevelType w:val="multilevel"/>
    <w:tmpl w:val="F98407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6C393D"/>
    <w:multiLevelType w:val="hybridMultilevel"/>
    <w:tmpl w:val="EB8E5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AE022">
      <w:start w:val="5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40DD3"/>
    <w:multiLevelType w:val="hybridMultilevel"/>
    <w:tmpl w:val="0448B348"/>
    <w:lvl w:ilvl="0" w:tplc="86AAA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/>
        <w:b/>
      </w:rPr>
    </w:lvl>
    <w:lvl w:ilvl="1" w:tplc="4B10F3C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1A5ADE"/>
    <w:multiLevelType w:val="hybridMultilevel"/>
    <w:tmpl w:val="813E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1394F"/>
    <w:multiLevelType w:val="hybridMultilevel"/>
    <w:tmpl w:val="72803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35CE8"/>
    <w:multiLevelType w:val="hybridMultilevel"/>
    <w:tmpl w:val="F5183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91974"/>
    <w:multiLevelType w:val="hybridMultilevel"/>
    <w:tmpl w:val="775EE3DA"/>
    <w:lvl w:ilvl="0" w:tplc="08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B04CC"/>
    <w:multiLevelType w:val="hybridMultilevel"/>
    <w:tmpl w:val="EBAA597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F2D69"/>
    <w:multiLevelType w:val="hybridMultilevel"/>
    <w:tmpl w:val="A5008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A7B92"/>
    <w:multiLevelType w:val="hybridMultilevel"/>
    <w:tmpl w:val="9D9E3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15"/>
  </w:num>
  <w:num w:numId="7">
    <w:abstractNumId w:val="0"/>
  </w:num>
  <w:num w:numId="8">
    <w:abstractNumId w:val="12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14"/>
  </w:num>
  <w:num w:numId="18">
    <w:abstractNumId w:val="1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B4"/>
    <w:rsid w:val="00246C9A"/>
    <w:rsid w:val="00267FBA"/>
    <w:rsid w:val="002B73F3"/>
    <w:rsid w:val="0036499F"/>
    <w:rsid w:val="003C410F"/>
    <w:rsid w:val="003E53B4"/>
    <w:rsid w:val="00465E1A"/>
    <w:rsid w:val="00580E1C"/>
    <w:rsid w:val="005F2193"/>
    <w:rsid w:val="006A1167"/>
    <w:rsid w:val="00737C9A"/>
    <w:rsid w:val="007F2777"/>
    <w:rsid w:val="00813F88"/>
    <w:rsid w:val="008451C2"/>
    <w:rsid w:val="0086212B"/>
    <w:rsid w:val="00867201"/>
    <w:rsid w:val="008868A8"/>
    <w:rsid w:val="009027F8"/>
    <w:rsid w:val="00AB3EED"/>
    <w:rsid w:val="00AF4A7A"/>
    <w:rsid w:val="00B64753"/>
    <w:rsid w:val="00BC565C"/>
    <w:rsid w:val="00BD5141"/>
    <w:rsid w:val="00BF7BDB"/>
    <w:rsid w:val="00C36FC5"/>
    <w:rsid w:val="00C5644A"/>
    <w:rsid w:val="00F22F3A"/>
    <w:rsid w:val="00F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47D3C95-C403-40FA-84A8-4749108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3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1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51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193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2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193"/>
    <w:rPr>
      <w:rFonts w:ascii="Arial" w:eastAsia="Times New Roman" w:hAnsi="Arial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36F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C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444862/Preventing_and_tackling_bullying_advice.pdf" TargetMode="External"/><Relationship Id="rId13" Type="http://schemas.openxmlformats.org/officeDocument/2006/relationships/hyperlink" Target="https://www.stonewall.org.uk/sites/default/files/getting_started_-_a_toolkit_for_secondary_schools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315587/Equality_Act_Advice_Final.pdf" TargetMode="External"/><Relationship Id="rId12" Type="http://schemas.openxmlformats.org/officeDocument/2006/relationships/hyperlink" Target="https://www.stonewall.org.uk/sites/default/files/getting_started_toolkit_-_primar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newall.org.uk/sites/default/files/getting_started_early_year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tonewall.org.uk/our-work/education-resour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ti-bullyingalliance.org.uk/sites/default/files/field/attachment/Whole%20school%20approach%20to%20writing%20or%20refreshing%20your%20AB%20policy.pdf" TargetMode="External"/><Relationship Id="rId14" Type="http://schemas.openxmlformats.org/officeDocument/2006/relationships/hyperlink" Target="https://transfigurations.org.uk/filestore/trans-inclusion-schools-toolkit-bright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1110</Words>
  <Characters>6331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Godsell</dc:creator>
  <cp:keywords/>
  <dc:description/>
  <cp:lastModifiedBy>Emma Allen</cp:lastModifiedBy>
  <cp:revision>2</cp:revision>
  <dcterms:created xsi:type="dcterms:W3CDTF">2018-08-03T07:48:00Z</dcterms:created>
  <dcterms:modified xsi:type="dcterms:W3CDTF">2018-08-03T07:48:00Z</dcterms:modified>
</cp:coreProperties>
</file>