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2B3979" w14:textId="383C7465" w:rsidR="00C1189B" w:rsidRPr="00204EFC" w:rsidRDefault="00105282" w:rsidP="00A35D4C">
      <w:pPr>
        <w:spacing w:after="360" w:line="240" w:lineRule="auto"/>
        <w:rPr>
          <w:rFonts w:cs="Arial"/>
          <w:b/>
          <w:color w:val="000000" w:themeColor="text1"/>
          <w:sz w:val="24"/>
        </w:rPr>
      </w:pPr>
      <w:r w:rsidRPr="00204EFC">
        <w:rPr>
          <w:rFonts w:cs="Arial"/>
          <w:b/>
          <w:color w:val="000000" w:themeColor="text1"/>
          <w:sz w:val="24"/>
        </w:rPr>
        <w:t>ADVICE</w:t>
      </w:r>
      <w:r w:rsidR="004F0571" w:rsidRPr="00204EFC">
        <w:rPr>
          <w:rFonts w:cs="Arial"/>
          <w:b/>
          <w:color w:val="000000" w:themeColor="text1"/>
          <w:sz w:val="24"/>
        </w:rPr>
        <w:t xml:space="preserve"> FOR LOCAL AUTHORITIES –</w:t>
      </w:r>
      <w:r w:rsidR="000D5B21">
        <w:rPr>
          <w:rFonts w:cs="Arial"/>
          <w:b/>
          <w:color w:val="000000" w:themeColor="text1"/>
          <w:sz w:val="24"/>
        </w:rPr>
        <w:t xml:space="preserve"> </w:t>
      </w:r>
      <w:r w:rsidR="007B1C7E" w:rsidRPr="00204EFC">
        <w:rPr>
          <w:rFonts w:cs="Arial"/>
          <w:b/>
          <w:color w:val="000000" w:themeColor="text1"/>
          <w:sz w:val="24"/>
        </w:rPr>
        <w:t>PROTECT</w:t>
      </w:r>
      <w:r w:rsidR="00E1794F">
        <w:rPr>
          <w:rFonts w:cs="Arial"/>
          <w:b/>
          <w:color w:val="000000" w:themeColor="text1"/>
          <w:sz w:val="24"/>
        </w:rPr>
        <w:t>ING</w:t>
      </w:r>
      <w:r w:rsidR="007B1C7E" w:rsidRPr="00204EFC">
        <w:rPr>
          <w:rFonts w:cs="Arial"/>
          <w:b/>
          <w:color w:val="000000" w:themeColor="text1"/>
          <w:sz w:val="24"/>
        </w:rPr>
        <w:t xml:space="preserve"> CHILDREN AT RISK OF HARM FROM </w:t>
      </w:r>
      <w:r w:rsidR="00C21050" w:rsidRPr="00204EFC">
        <w:rPr>
          <w:rFonts w:cs="Arial"/>
          <w:b/>
          <w:color w:val="000000" w:themeColor="text1"/>
          <w:sz w:val="24"/>
        </w:rPr>
        <w:t xml:space="preserve">RADICALISATION OR FROM </w:t>
      </w:r>
      <w:r w:rsidR="007B1C7E" w:rsidRPr="00204EFC">
        <w:rPr>
          <w:rFonts w:cs="Arial"/>
          <w:b/>
          <w:color w:val="000000" w:themeColor="text1"/>
          <w:sz w:val="24"/>
        </w:rPr>
        <w:t xml:space="preserve">BEING TAKEN INTO CONFLICT ZONES </w:t>
      </w:r>
    </w:p>
    <w:p w14:paraId="7748C10D" w14:textId="77777777" w:rsidR="00805C09" w:rsidRPr="00204EFC" w:rsidRDefault="004F0571" w:rsidP="00A35D4C">
      <w:pPr>
        <w:spacing w:after="120" w:line="240" w:lineRule="auto"/>
        <w:rPr>
          <w:rFonts w:cs="Arial"/>
          <w:sz w:val="24"/>
        </w:rPr>
      </w:pPr>
      <w:r w:rsidRPr="00204EFC">
        <w:rPr>
          <w:rFonts w:cs="Arial"/>
          <w:b/>
          <w:color w:val="000000" w:themeColor="text1"/>
          <w:sz w:val="24"/>
        </w:rPr>
        <w:t>Introduction</w:t>
      </w:r>
    </w:p>
    <w:p w14:paraId="3D2317B8" w14:textId="77777777" w:rsidR="001D2A1B" w:rsidRPr="00204EFC" w:rsidRDefault="001D2A1B" w:rsidP="00A35D4C">
      <w:pPr>
        <w:spacing w:after="120" w:line="240" w:lineRule="auto"/>
        <w:rPr>
          <w:rFonts w:cs="Arial"/>
          <w:sz w:val="24"/>
        </w:rPr>
      </w:pPr>
      <w:r w:rsidRPr="00204EFC">
        <w:rPr>
          <w:rFonts w:cs="Arial"/>
          <w:color w:val="000000" w:themeColor="text1"/>
          <w:sz w:val="24"/>
        </w:rPr>
        <w:t xml:space="preserve">There has recently been an increase in incidents where </w:t>
      </w:r>
      <w:r w:rsidRPr="00204EFC">
        <w:rPr>
          <w:rFonts w:cs="Arial"/>
          <w:sz w:val="24"/>
        </w:rPr>
        <w:t>children or young people have been taken to Syria and other conflict zones by parents. There has also been an increase of incidents where young people have been radicalised and persuaded to travel to conflict zones themselves. In both sets of circumstances children are being placed in great danger.</w:t>
      </w:r>
    </w:p>
    <w:p w14:paraId="0651BB66" w14:textId="77777777" w:rsidR="001D2A1B" w:rsidRPr="00204EFC" w:rsidRDefault="001D2A1B" w:rsidP="00A35D4C">
      <w:pPr>
        <w:spacing w:after="120" w:line="240" w:lineRule="auto"/>
        <w:rPr>
          <w:rFonts w:cs="Arial"/>
          <w:sz w:val="24"/>
        </w:rPr>
      </w:pPr>
      <w:r w:rsidRPr="00204EFC">
        <w:rPr>
          <w:rFonts w:cs="Arial"/>
          <w:sz w:val="24"/>
        </w:rPr>
        <w:t xml:space="preserve">Incidents such as these highlight the importance of safeguarding children and young people by dissuading them or preventing imminent travel to conflict zones.  </w:t>
      </w:r>
    </w:p>
    <w:p w14:paraId="30683BE7" w14:textId="4DF45AF8" w:rsidR="00204EFC" w:rsidRPr="00204EFC" w:rsidRDefault="00C94002" w:rsidP="00BE4EBA">
      <w:pPr>
        <w:spacing w:after="360" w:line="240" w:lineRule="auto"/>
        <w:rPr>
          <w:rFonts w:cs="Arial"/>
          <w:sz w:val="24"/>
        </w:rPr>
      </w:pPr>
      <w:r w:rsidRPr="00204EFC">
        <w:rPr>
          <w:rFonts w:cs="Arial"/>
          <w:color w:val="000000" w:themeColor="text1"/>
          <w:sz w:val="24"/>
        </w:rPr>
        <w:t>Early identification and mitigation of risk of harm from radicalisation or being taken to a country of conflict is important</w:t>
      </w:r>
      <w:r w:rsidR="001D2A1B" w:rsidRPr="00204EFC">
        <w:rPr>
          <w:rFonts w:cs="Arial"/>
          <w:color w:val="000000" w:themeColor="text1"/>
          <w:sz w:val="24"/>
        </w:rPr>
        <w:t>, and is always</w:t>
      </w:r>
      <w:r w:rsidR="00B76EF9" w:rsidRPr="00204EFC">
        <w:rPr>
          <w:rFonts w:cs="Arial"/>
          <w:color w:val="000000" w:themeColor="text1"/>
          <w:sz w:val="24"/>
        </w:rPr>
        <w:t xml:space="preserve"> preferable</w:t>
      </w:r>
      <w:r w:rsidR="001D2A1B" w:rsidRPr="00204EFC">
        <w:rPr>
          <w:rFonts w:cs="Arial"/>
          <w:color w:val="000000" w:themeColor="text1"/>
          <w:sz w:val="24"/>
        </w:rPr>
        <w:t xml:space="preserve"> to the use of</w:t>
      </w:r>
      <w:r w:rsidR="00B76EF9" w:rsidRPr="00204EFC">
        <w:rPr>
          <w:rFonts w:cs="Arial"/>
          <w:color w:val="000000" w:themeColor="text1"/>
          <w:sz w:val="24"/>
        </w:rPr>
        <w:t xml:space="preserve"> formal child protection </w:t>
      </w:r>
      <w:r w:rsidR="001D2A1B" w:rsidRPr="00204EFC">
        <w:rPr>
          <w:rFonts w:cs="Arial"/>
          <w:color w:val="000000" w:themeColor="text1"/>
          <w:sz w:val="24"/>
        </w:rPr>
        <w:t>powers</w:t>
      </w:r>
      <w:r w:rsidRPr="00204EFC">
        <w:rPr>
          <w:rFonts w:cs="Arial"/>
          <w:color w:val="000000" w:themeColor="text1"/>
          <w:sz w:val="24"/>
        </w:rPr>
        <w:t xml:space="preserve">. </w:t>
      </w:r>
      <w:r w:rsidR="004A7B8D" w:rsidRPr="00204EFC">
        <w:rPr>
          <w:rFonts w:cs="Arial"/>
          <w:color w:val="000000" w:themeColor="text1"/>
          <w:sz w:val="24"/>
        </w:rPr>
        <w:t>However</w:t>
      </w:r>
      <w:r w:rsidR="00BE4EBA">
        <w:rPr>
          <w:rFonts w:cs="Arial"/>
          <w:color w:val="000000" w:themeColor="text1"/>
          <w:sz w:val="24"/>
        </w:rPr>
        <w:t>,</w:t>
      </w:r>
      <w:r w:rsidR="004A7B8D" w:rsidRPr="00204EFC">
        <w:rPr>
          <w:rFonts w:cs="Arial"/>
          <w:color w:val="000000" w:themeColor="text1"/>
          <w:sz w:val="24"/>
        </w:rPr>
        <w:t xml:space="preserve"> t</w:t>
      </w:r>
      <w:r w:rsidRPr="00204EFC">
        <w:rPr>
          <w:rFonts w:cs="Arial"/>
          <w:color w:val="000000" w:themeColor="text1"/>
          <w:sz w:val="24"/>
        </w:rPr>
        <w:t>he purpose of this advice is to remind local authorities about</w:t>
      </w:r>
      <w:r w:rsidR="0040598E" w:rsidRPr="00204EFC">
        <w:rPr>
          <w:rFonts w:cs="Arial"/>
          <w:sz w:val="24"/>
        </w:rPr>
        <w:t xml:space="preserve"> the</w:t>
      </w:r>
      <w:r w:rsidR="00670FD9" w:rsidRPr="00204EFC">
        <w:rPr>
          <w:rFonts w:cs="Arial"/>
          <w:sz w:val="24"/>
        </w:rPr>
        <w:t xml:space="preserve"> </w:t>
      </w:r>
      <w:r w:rsidR="0040598E" w:rsidRPr="00204EFC">
        <w:rPr>
          <w:rFonts w:cs="Arial"/>
          <w:sz w:val="24"/>
        </w:rPr>
        <w:t xml:space="preserve">options that are available </w:t>
      </w:r>
      <w:r w:rsidRPr="00204EFC">
        <w:rPr>
          <w:rFonts w:cs="Arial"/>
          <w:sz w:val="24"/>
        </w:rPr>
        <w:t>where there are concerns that a child might be at</w:t>
      </w:r>
      <w:r w:rsidRPr="00204EFC">
        <w:rPr>
          <w:rFonts w:cs="Arial"/>
          <w:b/>
          <w:sz w:val="24"/>
        </w:rPr>
        <w:t xml:space="preserve"> immediate</w:t>
      </w:r>
      <w:r w:rsidRPr="00204EFC">
        <w:rPr>
          <w:rFonts w:cs="Arial"/>
          <w:sz w:val="24"/>
        </w:rPr>
        <w:t xml:space="preserve"> risk of significant harm arising from radicalisation, travel to conflict zones, or involvement in terrorist activity.</w:t>
      </w:r>
      <w:r w:rsidR="00BE4EBA">
        <w:rPr>
          <w:rFonts w:cs="Arial"/>
          <w:sz w:val="24"/>
        </w:rPr>
        <w:t xml:space="preserve"> </w:t>
      </w:r>
      <w:r w:rsidRPr="00204EFC">
        <w:rPr>
          <w:rFonts w:cs="Arial"/>
          <w:color w:val="000000" w:themeColor="text1"/>
          <w:sz w:val="24"/>
        </w:rPr>
        <w:t xml:space="preserve">It </w:t>
      </w:r>
      <w:r w:rsidRPr="00204EFC">
        <w:rPr>
          <w:rFonts w:cs="Arial"/>
          <w:color w:val="000000" w:themeColor="text1"/>
          <w:sz w:val="24"/>
        </w:rPr>
        <w:lastRenderedPageBreak/>
        <w:t xml:space="preserve">also includes links to recent cases </w:t>
      </w:r>
      <w:r w:rsidRPr="00204EFC">
        <w:rPr>
          <w:rFonts w:cs="Arial"/>
          <w:sz w:val="24"/>
        </w:rPr>
        <w:t xml:space="preserve">that may be relevant to local authority considerations of what actions to take. </w:t>
      </w:r>
    </w:p>
    <w:p w14:paraId="26C5C50E" w14:textId="454E46B4" w:rsidR="00F9711D" w:rsidRPr="00204EFC" w:rsidRDefault="00F9711D" w:rsidP="00A35D4C">
      <w:pPr>
        <w:spacing w:after="120" w:line="240" w:lineRule="auto"/>
        <w:rPr>
          <w:rFonts w:cs="Arial"/>
          <w:b/>
          <w:sz w:val="24"/>
        </w:rPr>
      </w:pPr>
      <w:r w:rsidRPr="00204EFC">
        <w:rPr>
          <w:rFonts w:cs="Arial"/>
          <w:b/>
          <w:sz w:val="24"/>
        </w:rPr>
        <w:t xml:space="preserve">Child </w:t>
      </w:r>
      <w:r w:rsidR="003803B4">
        <w:rPr>
          <w:rFonts w:cs="Arial"/>
          <w:b/>
          <w:sz w:val="24"/>
        </w:rPr>
        <w:t>p</w:t>
      </w:r>
      <w:r w:rsidRPr="00204EFC">
        <w:rPr>
          <w:rFonts w:cs="Arial"/>
          <w:b/>
          <w:sz w:val="24"/>
        </w:rPr>
        <w:t>rotection powers</w:t>
      </w:r>
    </w:p>
    <w:p w14:paraId="0C25795D" w14:textId="0912BADE" w:rsidR="004647EE" w:rsidRPr="00204EFC" w:rsidRDefault="00AA30C0" w:rsidP="00A35D4C">
      <w:pPr>
        <w:spacing w:after="120" w:line="240" w:lineRule="auto"/>
        <w:rPr>
          <w:rFonts w:cs="Arial"/>
          <w:sz w:val="24"/>
        </w:rPr>
      </w:pPr>
      <w:r w:rsidRPr="00204EFC">
        <w:rPr>
          <w:rFonts w:cs="Arial"/>
          <w:sz w:val="24"/>
        </w:rPr>
        <w:t>Local authorities will be familiar with their</w:t>
      </w:r>
      <w:r w:rsidR="0040598E" w:rsidRPr="00204EFC">
        <w:rPr>
          <w:rFonts w:cs="Arial"/>
          <w:sz w:val="24"/>
        </w:rPr>
        <w:t xml:space="preserve"> duties and</w:t>
      </w:r>
      <w:r w:rsidRPr="00204EFC">
        <w:rPr>
          <w:rFonts w:cs="Arial"/>
          <w:sz w:val="24"/>
        </w:rPr>
        <w:t xml:space="preserve"> powers under the Children Act 1989 to </w:t>
      </w:r>
      <w:r w:rsidR="00516438">
        <w:rPr>
          <w:rFonts w:cs="Arial"/>
          <w:sz w:val="24"/>
        </w:rPr>
        <w:t>safeguard and promote the welfare of</w:t>
      </w:r>
      <w:r w:rsidR="00516438" w:rsidRPr="00204EFC">
        <w:rPr>
          <w:rFonts w:cs="Arial"/>
          <w:sz w:val="24"/>
        </w:rPr>
        <w:t xml:space="preserve"> </w:t>
      </w:r>
      <w:r w:rsidRPr="00204EFC">
        <w:rPr>
          <w:rFonts w:cs="Arial"/>
          <w:sz w:val="24"/>
        </w:rPr>
        <w:t xml:space="preserve">children suffering, or likely to suffer, significant harm. </w:t>
      </w:r>
      <w:r w:rsidR="002771E2" w:rsidRPr="00204EFC">
        <w:rPr>
          <w:rFonts w:cs="Arial"/>
          <w:sz w:val="24"/>
        </w:rPr>
        <w:t xml:space="preserve">Protecting children from the risk of harm from being taken into conflict zones or through radicalisation is similar in nature to protecting children from harm resulting from other concerns (e.g. drugs, gangs, neglect, sexual exploitation), whether these come from within their family or are the product of outside influences.  Agencies responsible for safeguarding children should work together and use the </w:t>
      </w:r>
      <w:r w:rsidR="00C21050" w:rsidRPr="00204EFC">
        <w:rPr>
          <w:rFonts w:cs="Arial"/>
          <w:sz w:val="24"/>
        </w:rPr>
        <w:t xml:space="preserve">most appropriate </w:t>
      </w:r>
      <w:r w:rsidR="002771E2" w:rsidRPr="00204EFC">
        <w:rPr>
          <w:rFonts w:cs="Arial"/>
          <w:sz w:val="24"/>
        </w:rPr>
        <w:t xml:space="preserve">tools available to them to keep children safe.  </w:t>
      </w:r>
    </w:p>
    <w:p w14:paraId="63B9C85F" w14:textId="6954DDA2" w:rsidR="006E4C44" w:rsidRPr="00204EFC" w:rsidRDefault="006E4C44" w:rsidP="00A35D4C">
      <w:pPr>
        <w:spacing w:after="120" w:line="240" w:lineRule="auto"/>
        <w:rPr>
          <w:rFonts w:cs="Arial"/>
          <w:sz w:val="24"/>
        </w:rPr>
      </w:pPr>
      <w:r w:rsidRPr="00204EFC">
        <w:rPr>
          <w:rFonts w:cs="Arial"/>
          <w:sz w:val="24"/>
        </w:rPr>
        <w:t xml:space="preserve">The Department for Education has updated statutory guidance – </w:t>
      </w:r>
      <w:r w:rsidRPr="00204EFC">
        <w:rPr>
          <w:rFonts w:cs="Arial"/>
          <w:i/>
          <w:sz w:val="24"/>
        </w:rPr>
        <w:t>Working Together to Safeguard Children</w:t>
      </w:r>
      <w:r w:rsidRPr="00204EFC">
        <w:rPr>
          <w:rFonts w:cs="Arial"/>
          <w:sz w:val="24"/>
        </w:rPr>
        <w:t xml:space="preserve"> and </w:t>
      </w:r>
      <w:r w:rsidRPr="00204EFC">
        <w:rPr>
          <w:rFonts w:cs="Arial"/>
          <w:i/>
          <w:sz w:val="24"/>
        </w:rPr>
        <w:t xml:space="preserve">Keeping Children Safe in Education </w:t>
      </w:r>
      <w:r w:rsidRPr="00204EFC">
        <w:rPr>
          <w:rFonts w:cs="Arial"/>
          <w:sz w:val="24"/>
        </w:rPr>
        <w:t xml:space="preserve">– to make clear that radicalisation is a safeguarding risk. </w:t>
      </w:r>
      <w:r w:rsidR="00DA5580" w:rsidRPr="00204EFC">
        <w:rPr>
          <w:rFonts w:cs="Arial"/>
          <w:i/>
          <w:sz w:val="24"/>
        </w:rPr>
        <w:t>Working Together</w:t>
      </w:r>
      <w:r w:rsidR="00DA5580" w:rsidRPr="00204EFC">
        <w:rPr>
          <w:rFonts w:cs="Arial"/>
          <w:sz w:val="24"/>
        </w:rPr>
        <w:t xml:space="preserve"> explicitly states that Local Safeguarding Children Boards (LSCBs) should publish a threshold document and that they “should agree with the local authority and its partners the levels for </w:t>
      </w:r>
      <w:r w:rsidR="00DA5580" w:rsidRPr="00204EFC">
        <w:rPr>
          <w:rFonts w:cs="Arial"/>
          <w:sz w:val="24"/>
        </w:rPr>
        <w:lastRenderedPageBreak/>
        <w:t xml:space="preserve">the different types of assessment and services to be commissioned and delivered.” The Department has written to LSCBs advising them to consider referring explicitly to radicalisation in their threshold documents. </w:t>
      </w:r>
    </w:p>
    <w:p w14:paraId="729D163C" w14:textId="77777777" w:rsidR="00E201AF" w:rsidRDefault="00E201AF">
      <w:pPr>
        <w:spacing w:after="0" w:line="240" w:lineRule="auto"/>
        <w:rPr>
          <w:rFonts w:cs="Arial"/>
          <w:sz w:val="24"/>
        </w:rPr>
      </w:pPr>
      <w:r>
        <w:rPr>
          <w:rFonts w:cs="Arial"/>
          <w:sz w:val="24"/>
        </w:rPr>
        <w:br w:type="page"/>
      </w:r>
    </w:p>
    <w:p w14:paraId="6948CAA3" w14:textId="41C661A7" w:rsidR="009E2FB2" w:rsidRPr="00204EFC" w:rsidRDefault="002771E2" w:rsidP="00A35D4C">
      <w:pPr>
        <w:spacing w:after="120" w:line="240" w:lineRule="auto"/>
        <w:rPr>
          <w:rFonts w:cs="Arial"/>
          <w:sz w:val="24"/>
        </w:rPr>
      </w:pPr>
      <w:r w:rsidRPr="00204EFC">
        <w:rPr>
          <w:rFonts w:cs="Arial"/>
          <w:sz w:val="24"/>
        </w:rPr>
        <w:lastRenderedPageBreak/>
        <w:t xml:space="preserve">In cases </w:t>
      </w:r>
      <w:r w:rsidR="00C21050" w:rsidRPr="00204EFC">
        <w:rPr>
          <w:rFonts w:cs="Arial"/>
          <w:sz w:val="24"/>
        </w:rPr>
        <w:t xml:space="preserve">where there are concerns around children being radicalised or being taken into conflict zones, </w:t>
      </w:r>
      <w:r w:rsidR="00B67C5E" w:rsidRPr="00204EFC">
        <w:rPr>
          <w:rFonts w:cs="Arial"/>
          <w:sz w:val="24"/>
        </w:rPr>
        <w:t xml:space="preserve">local authorities should work with </w:t>
      </w:r>
      <w:r w:rsidR="00B72841">
        <w:rPr>
          <w:rFonts w:cs="Arial"/>
          <w:sz w:val="24"/>
        </w:rPr>
        <w:t>their</w:t>
      </w:r>
      <w:r w:rsidR="00B72841" w:rsidRPr="00204EFC">
        <w:rPr>
          <w:rFonts w:cs="Arial"/>
          <w:sz w:val="24"/>
        </w:rPr>
        <w:t xml:space="preserve"> </w:t>
      </w:r>
      <w:r w:rsidR="00C21050" w:rsidRPr="00204EFC">
        <w:rPr>
          <w:rFonts w:cs="Arial"/>
          <w:sz w:val="24"/>
        </w:rPr>
        <w:t xml:space="preserve">families at the </w:t>
      </w:r>
      <w:r w:rsidRPr="00204EFC">
        <w:rPr>
          <w:rFonts w:cs="Arial"/>
          <w:sz w:val="24"/>
        </w:rPr>
        <w:t>earl</w:t>
      </w:r>
      <w:r w:rsidR="00C21050" w:rsidRPr="00204EFC">
        <w:rPr>
          <w:rFonts w:cs="Arial"/>
          <w:sz w:val="24"/>
        </w:rPr>
        <w:t>iest opportunity</w:t>
      </w:r>
      <w:r w:rsidRPr="00204EFC">
        <w:rPr>
          <w:rFonts w:cs="Arial"/>
          <w:sz w:val="24"/>
        </w:rPr>
        <w:t>.</w:t>
      </w:r>
      <w:r w:rsidR="00B76EF9" w:rsidRPr="00204EFC">
        <w:rPr>
          <w:rFonts w:cs="Arial"/>
          <w:sz w:val="24"/>
        </w:rPr>
        <w:t xml:space="preserve"> Where cases are referred to c</w:t>
      </w:r>
      <w:r w:rsidR="009E2FB2" w:rsidRPr="00204EFC">
        <w:rPr>
          <w:rFonts w:cs="Arial"/>
          <w:sz w:val="24"/>
        </w:rPr>
        <w:t xml:space="preserve">hildren’s social </w:t>
      </w:r>
      <w:r w:rsidR="004C2F6C" w:rsidRPr="00204EFC">
        <w:rPr>
          <w:rFonts w:cs="Arial"/>
          <w:sz w:val="24"/>
        </w:rPr>
        <w:t>care</w:t>
      </w:r>
      <w:r w:rsidR="00B76EF9" w:rsidRPr="00204EFC">
        <w:rPr>
          <w:rFonts w:cs="Arial"/>
          <w:sz w:val="24"/>
        </w:rPr>
        <w:t>,</w:t>
      </w:r>
      <w:r w:rsidR="00516438">
        <w:rPr>
          <w:rFonts w:cs="Arial"/>
          <w:sz w:val="24"/>
        </w:rPr>
        <w:t xml:space="preserve"> there are a range of statutory interventions available to</w:t>
      </w:r>
      <w:r w:rsidR="009E2FB2" w:rsidRPr="00204EFC">
        <w:rPr>
          <w:rFonts w:cs="Arial"/>
          <w:sz w:val="24"/>
        </w:rPr>
        <w:t xml:space="preserve"> practitioners</w:t>
      </w:r>
      <w:r w:rsidR="00516438">
        <w:rPr>
          <w:rFonts w:cs="Arial"/>
          <w:sz w:val="24"/>
        </w:rPr>
        <w:t>, for example</w:t>
      </w:r>
      <w:r w:rsidR="009E2FB2" w:rsidRPr="00204EFC">
        <w:rPr>
          <w:rFonts w:cs="Arial"/>
          <w:sz w:val="24"/>
        </w:rPr>
        <w:t xml:space="preserve">: </w:t>
      </w:r>
    </w:p>
    <w:p w14:paraId="2892BF29" w14:textId="09308DA6" w:rsidR="009E2FB2" w:rsidRPr="00204EFC" w:rsidRDefault="009E2FB2" w:rsidP="00A35D4C">
      <w:pPr>
        <w:pStyle w:val="ListParagraph"/>
        <w:numPr>
          <w:ilvl w:val="0"/>
          <w:numId w:val="17"/>
        </w:numPr>
        <w:spacing w:after="120" w:line="240" w:lineRule="auto"/>
        <w:ind w:left="714" w:hanging="357"/>
        <w:rPr>
          <w:rFonts w:cs="Arial"/>
          <w:sz w:val="24"/>
        </w:rPr>
      </w:pPr>
      <w:r w:rsidRPr="00204EFC">
        <w:rPr>
          <w:rFonts w:cs="Arial"/>
          <w:sz w:val="24"/>
        </w:rPr>
        <w:t xml:space="preserve">section 17 of the Children Act 1989: to provide a range of services appropriate to support </w:t>
      </w:r>
      <w:r w:rsidR="004C2F6C" w:rsidRPr="00204EFC">
        <w:rPr>
          <w:rFonts w:cs="Arial"/>
          <w:sz w:val="24"/>
        </w:rPr>
        <w:t>a child in need</w:t>
      </w:r>
      <w:r w:rsidR="008F61DE">
        <w:rPr>
          <w:rFonts w:cs="Arial"/>
          <w:sz w:val="24"/>
        </w:rPr>
        <w:t>;</w:t>
      </w:r>
    </w:p>
    <w:p w14:paraId="20BC499C" w14:textId="23AE78ED" w:rsidR="00952168" w:rsidRPr="00204EFC" w:rsidRDefault="009E2FB2" w:rsidP="00A35D4C">
      <w:pPr>
        <w:pStyle w:val="ListParagraph"/>
        <w:numPr>
          <w:ilvl w:val="0"/>
          <w:numId w:val="17"/>
        </w:numPr>
        <w:spacing w:after="120" w:line="240" w:lineRule="auto"/>
        <w:ind w:left="714" w:hanging="357"/>
        <w:rPr>
          <w:rFonts w:cs="Arial"/>
          <w:sz w:val="24"/>
        </w:rPr>
      </w:pPr>
      <w:r w:rsidRPr="00204EFC">
        <w:rPr>
          <w:rFonts w:cs="Arial"/>
          <w:sz w:val="24"/>
        </w:rPr>
        <w:t xml:space="preserve">section 47 of the Children Act 1989: </w:t>
      </w:r>
      <w:r w:rsidR="004238D4" w:rsidRPr="00204EFC">
        <w:rPr>
          <w:rFonts w:cs="Arial"/>
          <w:sz w:val="24"/>
        </w:rPr>
        <w:t xml:space="preserve">carrying out investigations </w:t>
      </w:r>
      <w:r w:rsidR="004C2F6C" w:rsidRPr="00204EFC">
        <w:rPr>
          <w:rFonts w:cs="Arial"/>
          <w:sz w:val="24"/>
        </w:rPr>
        <w:t>where there is reasonable cause to suspect a child is suffering or likely to suffer significant harm</w:t>
      </w:r>
      <w:r w:rsidR="00B67C5E" w:rsidRPr="00204EFC">
        <w:rPr>
          <w:rFonts w:cs="Arial"/>
          <w:sz w:val="24"/>
        </w:rPr>
        <w:t xml:space="preserve"> to decide what, if any, action should be taken to safeguard </w:t>
      </w:r>
      <w:r w:rsidR="00516438">
        <w:rPr>
          <w:rFonts w:cs="Arial"/>
          <w:sz w:val="24"/>
        </w:rPr>
        <w:t xml:space="preserve">and promote the welfare of </w:t>
      </w:r>
      <w:r w:rsidR="00B67C5E" w:rsidRPr="00204EFC">
        <w:rPr>
          <w:rFonts w:cs="Arial"/>
          <w:sz w:val="24"/>
        </w:rPr>
        <w:t>the child</w:t>
      </w:r>
      <w:r w:rsidR="008F61DE">
        <w:rPr>
          <w:rFonts w:cs="Arial"/>
          <w:sz w:val="24"/>
        </w:rPr>
        <w:t>;</w:t>
      </w:r>
    </w:p>
    <w:p w14:paraId="7260A49C" w14:textId="24BE4A2A" w:rsidR="00952168" w:rsidRPr="00204EFC" w:rsidRDefault="00952168" w:rsidP="00A35D4C">
      <w:pPr>
        <w:pStyle w:val="ListParagraph"/>
        <w:numPr>
          <w:ilvl w:val="0"/>
          <w:numId w:val="17"/>
        </w:numPr>
        <w:spacing w:line="240" w:lineRule="auto"/>
        <w:ind w:left="714" w:hanging="357"/>
        <w:rPr>
          <w:rFonts w:cs="Arial"/>
          <w:sz w:val="24"/>
        </w:rPr>
      </w:pPr>
      <w:r w:rsidRPr="00204EFC">
        <w:rPr>
          <w:rFonts w:cs="Arial"/>
          <w:sz w:val="24"/>
        </w:rPr>
        <w:t>t</w:t>
      </w:r>
      <w:r w:rsidR="002771E2" w:rsidRPr="00204EFC">
        <w:rPr>
          <w:rFonts w:cs="Arial"/>
          <w:sz w:val="24"/>
        </w:rPr>
        <w:t>he Channel programme</w:t>
      </w:r>
      <w:r w:rsidRPr="00204EFC">
        <w:rPr>
          <w:rFonts w:cs="Arial"/>
          <w:sz w:val="24"/>
        </w:rPr>
        <w:t xml:space="preserve">: where children or adults thought to be at risk from radicalisation should be referred for assessment and </w:t>
      </w:r>
      <w:r w:rsidR="00237B56" w:rsidRPr="00204EFC">
        <w:rPr>
          <w:rFonts w:cs="Arial"/>
          <w:sz w:val="24"/>
        </w:rPr>
        <w:t xml:space="preserve">possible </w:t>
      </w:r>
      <w:r w:rsidR="004C7A53" w:rsidRPr="00204EFC">
        <w:rPr>
          <w:rFonts w:cs="Arial"/>
          <w:sz w:val="24"/>
        </w:rPr>
        <w:t>support. Referral to Channel may be in conjunction with other actions under the Children Act 1989.</w:t>
      </w:r>
      <w:r w:rsidR="00C37831" w:rsidRPr="00204EFC">
        <w:rPr>
          <w:rFonts w:cs="Arial"/>
          <w:sz w:val="24"/>
        </w:rPr>
        <w:t xml:space="preserve"> Guidance on Channel is available at </w:t>
      </w:r>
      <w:hyperlink r:id="rId8" w:history="1">
        <w:r w:rsidR="00A35D4C" w:rsidRPr="000E31F8">
          <w:rPr>
            <w:rStyle w:val="Hyperlink"/>
            <w:rFonts w:cs="Arial"/>
          </w:rPr>
          <w:t>https://www.gov.uk/government</w:t>
        </w:r>
        <w:bookmarkStart w:id="0" w:name="_GoBack"/>
        <w:bookmarkEnd w:id="0"/>
        <w:r w:rsidR="00A35D4C" w:rsidRPr="000E31F8">
          <w:rPr>
            <w:rStyle w:val="Hyperlink"/>
            <w:rFonts w:cs="Arial"/>
          </w:rPr>
          <w:t>/publications/channel-guidance</w:t>
        </w:r>
      </w:hyperlink>
      <w:r w:rsidR="00A35D4C">
        <w:rPr>
          <w:rFonts w:cs="Arial"/>
          <w:sz w:val="24"/>
        </w:rPr>
        <w:t xml:space="preserve"> </w:t>
      </w:r>
    </w:p>
    <w:p w14:paraId="0AF6CD89" w14:textId="77C77EF8" w:rsidR="00035A2D" w:rsidRPr="00204EFC" w:rsidRDefault="00237B56" w:rsidP="00A35D4C">
      <w:pPr>
        <w:pStyle w:val="PlainText"/>
        <w:spacing w:after="120"/>
        <w:rPr>
          <w:rFonts w:cs="Arial"/>
          <w:szCs w:val="24"/>
        </w:rPr>
      </w:pPr>
      <w:r w:rsidRPr="00204EFC">
        <w:rPr>
          <w:rFonts w:cs="Arial"/>
          <w:szCs w:val="24"/>
        </w:rPr>
        <w:t xml:space="preserve">The </w:t>
      </w:r>
      <w:r w:rsidR="00343732" w:rsidRPr="00204EFC">
        <w:rPr>
          <w:rFonts w:cs="Arial"/>
          <w:szCs w:val="24"/>
        </w:rPr>
        <w:t xml:space="preserve">local authority </w:t>
      </w:r>
      <w:r w:rsidRPr="00204EFC">
        <w:rPr>
          <w:rFonts w:cs="Arial"/>
          <w:szCs w:val="24"/>
        </w:rPr>
        <w:t xml:space="preserve">should work with the police </w:t>
      </w:r>
      <w:r w:rsidR="00805C09" w:rsidRPr="00204EFC">
        <w:rPr>
          <w:rFonts w:cs="Arial"/>
          <w:szCs w:val="24"/>
        </w:rPr>
        <w:t>to</w:t>
      </w:r>
      <w:r w:rsidRPr="00204EFC">
        <w:rPr>
          <w:rFonts w:cs="Arial"/>
          <w:szCs w:val="24"/>
        </w:rPr>
        <w:t xml:space="preserve"> share information about the individual</w:t>
      </w:r>
      <w:r w:rsidR="00B76EF9" w:rsidRPr="00204EFC">
        <w:rPr>
          <w:rFonts w:cs="Arial"/>
          <w:szCs w:val="24"/>
        </w:rPr>
        <w:t xml:space="preserve"> child</w:t>
      </w:r>
      <w:r w:rsidR="004238D4" w:rsidRPr="00204EFC">
        <w:rPr>
          <w:rFonts w:cs="Arial"/>
          <w:szCs w:val="24"/>
        </w:rPr>
        <w:t xml:space="preserve"> and their</w:t>
      </w:r>
      <w:r w:rsidR="00C37831" w:rsidRPr="00204EFC">
        <w:rPr>
          <w:rFonts w:cs="Arial"/>
          <w:szCs w:val="24"/>
        </w:rPr>
        <w:t xml:space="preserve"> family and </w:t>
      </w:r>
      <w:r w:rsidR="004238D4" w:rsidRPr="00204EFC">
        <w:rPr>
          <w:rFonts w:cs="Arial"/>
          <w:szCs w:val="24"/>
        </w:rPr>
        <w:lastRenderedPageBreak/>
        <w:t>network</w:t>
      </w:r>
      <w:r w:rsidR="00C37831" w:rsidRPr="00204EFC">
        <w:rPr>
          <w:rFonts w:cs="Arial"/>
          <w:szCs w:val="24"/>
        </w:rPr>
        <w:t xml:space="preserve"> of close friends/associates</w:t>
      </w:r>
      <w:r w:rsidR="00B76EF9" w:rsidRPr="00204EFC">
        <w:rPr>
          <w:rFonts w:cs="Arial"/>
          <w:szCs w:val="24"/>
        </w:rPr>
        <w:t xml:space="preserve"> as appropriate</w:t>
      </w:r>
      <w:r w:rsidRPr="00204EFC">
        <w:rPr>
          <w:rFonts w:cs="Arial"/>
          <w:szCs w:val="24"/>
        </w:rPr>
        <w:t xml:space="preserve">. Information should be sought at the earliest opportunity from all relevant agencies that may </w:t>
      </w:r>
      <w:r w:rsidR="00805C09" w:rsidRPr="00204EFC">
        <w:rPr>
          <w:rFonts w:cs="Arial"/>
          <w:szCs w:val="24"/>
        </w:rPr>
        <w:t>know about</w:t>
      </w:r>
      <w:r w:rsidRPr="00204EFC">
        <w:rPr>
          <w:rFonts w:cs="Arial"/>
          <w:szCs w:val="24"/>
        </w:rPr>
        <w:t xml:space="preserve"> the family or child in question.</w:t>
      </w:r>
    </w:p>
    <w:p w14:paraId="3937BE49" w14:textId="59EC62A3" w:rsidR="00FA2136" w:rsidRPr="00204EFC" w:rsidRDefault="00237B56" w:rsidP="00A35D4C">
      <w:pPr>
        <w:spacing w:after="120" w:line="240" w:lineRule="auto"/>
        <w:rPr>
          <w:rFonts w:cs="Arial"/>
          <w:sz w:val="24"/>
        </w:rPr>
      </w:pPr>
      <w:r w:rsidRPr="00204EFC">
        <w:rPr>
          <w:rFonts w:cs="Arial"/>
          <w:sz w:val="24"/>
        </w:rPr>
        <w:t>I</w:t>
      </w:r>
      <w:r w:rsidR="005D7492" w:rsidRPr="00204EFC">
        <w:rPr>
          <w:rFonts w:cs="Arial"/>
          <w:sz w:val="24"/>
        </w:rPr>
        <w:t xml:space="preserve">n some cases where </w:t>
      </w:r>
      <w:r w:rsidR="002771E2" w:rsidRPr="00204EFC">
        <w:rPr>
          <w:rFonts w:cs="Arial"/>
          <w:sz w:val="24"/>
        </w:rPr>
        <w:t xml:space="preserve">agencies are aware </w:t>
      </w:r>
      <w:r w:rsidR="00952168" w:rsidRPr="00204EFC">
        <w:rPr>
          <w:rFonts w:cs="Arial"/>
          <w:sz w:val="24"/>
        </w:rPr>
        <w:t xml:space="preserve">of imminent </w:t>
      </w:r>
      <w:r w:rsidR="002771E2" w:rsidRPr="00204EFC">
        <w:rPr>
          <w:rFonts w:cs="Arial"/>
          <w:sz w:val="24"/>
        </w:rPr>
        <w:t>travel</w:t>
      </w:r>
      <w:r w:rsidR="00952168" w:rsidRPr="00204EFC">
        <w:rPr>
          <w:rFonts w:cs="Arial"/>
          <w:sz w:val="24"/>
        </w:rPr>
        <w:t xml:space="preserve"> plans</w:t>
      </w:r>
      <w:r w:rsidR="002771E2" w:rsidRPr="00204EFC">
        <w:rPr>
          <w:rFonts w:cs="Arial"/>
          <w:sz w:val="24"/>
        </w:rPr>
        <w:t xml:space="preserve"> </w:t>
      </w:r>
      <w:r w:rsidR="00952168" w:rsidRPr="00204EFC">
        <w:rPr>
          <w:rFonts w:cs="Arial"/>
          <w:sz w:val="24"/>
        </w:rPr>
        <w:t>and</w:t>
      </w:r>
      <w:r w:rsidR="002771E2" w:rsidRPr="00204EFC">
        <w:rPr>
          <w:rFonts w:cs="Arial"/>
          <w:sz w:val="24"/>
        </w:rPr>
        <w:t xml:space="preserve"> that children </w:t>
      </w:r>
      <w:r w:rsidR="005D7492" w:rsidRPr="00204EFC">
        <w:rPr>
          <w:rFonts w:cs="Arial"/>
          <w:sz w:val="24"/>
        </w:rPr>
        <w:t xml:space="preserve">are likely to </w:t>
      </w:r>
      <w:r w:rsidR="002771E2" w:rsidRPr="00204EFC">
        <w:rPr>
          <w:rFonts w:cs="Arial"/>
          <w:sz w:val="24"/>
        </w:rPr>
        <w:t>be taken into conflict zones</w:t>
      </w:r>
      <w:r w:rsidR="005D7492" w:rsidRPr="00204EFC">
        <w:rPr>
          <w:rFonts w:cs="Arial"/>
          <w:sz w:val="24"/>
        </w:rPr>
        <w:t xml:space="preserve">, or </w:t>
      </w:r>
      <w:r w:rsidR="00B72841">
        <w:rPr>
          <w:rFonts w:cs="Arial"/>
          <w:sz w:val="24"/>
        </w:rPr>
        <w:t xml:space="preserve">where </w:t>
      </w:r>
      <w:r w:rsidR="005D7492" w:rsidRPr="00204EFC">
        <w:rPr>
          <w:rFonts w:cs="Arial"/>
          <w:sz w:val="24"/>
        </w:rPr>
        <w:t>there is a significant risk of harm through radicalisation</w:t>
      </w:r>
      <w:r w:rsidR="002771E2" w:rsidRPr="00204EFC">
        <w:rPr>
          <w:rFonts w:cs="Arial"/>
          <w:sz w:val="24"/>
        </w:rPr>
        <w:t>, it may be necessary to take swift action through the courts to protect children</w:t>
      </w:r>
      <w:r w:rsidRPr="00204EFC">
        <w:rPr>
          <w:rFonts w:cs="Arial"/>
          <w:sz w:val="24"/>
        </w:rPr>
        <w:t xml:space="preserve">.  </w:t>
      </w:r>
    </w:p>
    <w:p w14:paraId="2A8BD53B" w14:textId="49C372D7" w:rsidR="0002021E" w:rsidRPr="00204EFC" w:rsidRDefault="00225B5F" w:rsidP="00A35D4C">
      <w:pPr>
        <w:spacing w:after="360" w:line="240" w:lineRule="auto"/>
        <w:rPr>
          <w:rFonts w:cs="Arial"/>
          <w:color w:val="000000" w:themeColor="text1"/>
          <w:sz w:val="24"/>
        </w:rPr>
      </w:pPr>
      <w:r w:rsidRPr="00204EFC">
        <w:rPr>
          <w:rFonts w:cs="Arial"/>
          <w:sz w:val="24"/>
        </w:rPr>
        <w:t xml:space="preserve">In a small number of cases, the courts have made orders under the Children Act 1989 to protect children who are suffering, or </w:t>
      </w:r>
      <w:r w:rsidR="00B72841">
        <w:rPr>
          <w:rFonts w:cs="Arial"/>
          <w:sz w:val="24"/>
        </w:rPr>
        <w:t xml:space="preserve">are </w:t>
      </w:r>
      <w:r w:rsidRPr="00204EFC">
        <w:rPr>
          <w:rFonts w:cs="Arial"/>
          <w:sz w:val="24"/>
        </w:rPr>
        <w:t>likely to suffer, significant harm as a result of radicalisation occurring within their families or</w:t>
      </w:r>
      <w:r w:rsidR="00516438">
        <w:rPr>
          <w:rFonts w:cs="Arial"/>
          <w:sz w:val="24"/>
        </w:rPr>
        <w:t xml:space="preserve"> of</w:t>
      </w:r>
      <w:r w:rsidRPr="00204EFC">
        <w:rPr>
          <w:rFonts w:cs="Arial"/>
          <w:sz w:val="24"/>
        </w:rPr>
        <w:t xml:space="preserve"> travel to Syria. </w:t>
      </w:r>
      <w:r w:rsidR="00D64B9C" w:rsidRPr="00D64B9C">
        <w:rPr>
          <w:rFonts w:cs="Arial"/>
          <w:sz w:val="24"/>
        </w:rPr>
        <w:t>In those cases the effect of the orders is to protect (and if necessary remove) children from their parents.</w:t>
      </w:r>
      <w:r w:rsidR="00D64B9C">
        <w:rPr>
          <w:rFonts w:cs="Arial"/>
          <w:sz w:val="24"/>
        </w:rPr>
        <w:t xml:space="preserve">  </w:t>
      </w:r>
      <w:r w:rsidRPr="00204EFC">
        <w:rPr>
          <w:rFonts w:cs="Arial"/>
          <w:sz w:val="24"/>
        </w:rPr>
        <w:t xml:space="preserve">An application can be made to the court for an interim care order under the Children Act 1989. </w:t>
      </w:r>
      <w:r w:rsidR="00516438">
        <w:rPr>
          <w:rFonts w:cs="Arial"/>
          <w:sz w:val="24"/>
        </w:rPr>
        <w:t>Where immediate action is necessary to protect a child</w:t>
      </w:r>
      <w:r w:rsidRPr="00204EFC">
        <w:rPr>
          <w:rFonts w:cs="Arial"/>
          <w:sz w:val="24"/>
        </w:rPr>
        <w:t xml:space="preserve"> an emergency protection order can be sought, with or without notice to the parents</w:t>
      </w:r>
      <w:r w:rsidR="005B1BDC">
        <w:rPr>
          <w:rFonts w:cs="Arial"/>
          <w:color w:val="000000" w:themeColor="text1"/>
          <w:sz w:val="24"/>
        </w:rPr>
        <w:t>.</w:t>
      </w:r>
    </w:p>
    <w:p w14:paraId="518002B0" w14:textId="77777777" w:rsidR="004238D4" w:rsidRPr="00204EFC" w:rsidRDefault="004C24BD" w:rsidP="00A35D4C">
      <w:pPr>
        <w:spacing w:after="120" w:line="240" w:lineRule="auto"/>
        <w:rPr>
          <w:rFonts w:cs="Arial"/>
          <w:b/>
          <w:color w:val="000000" w:themeColor="text1"/>
          <w:sz w:val="24"/>
        </w:rPr>
      </w:pPr>
      <w:r w:rsidRPr="00204EFC">
        <w:rPr>
          <w:rFonts w:cs="Arial"/>
          <w:b/>
          <w:color w:val="000000" w:themeColor="text1"/>
          <w:sz w:val="24"/>
        </w:rPr>
        <w:t xml:space="preserve">Inherent </w:t>
      </w:r>
      <w:r w:rsidR="00051A6D" w:rsidRPr="00204EFC">
        <w:rPr>
          <w:rFonts w:cs="Arial"/>
          <w:b/>
          <w:color w:val="000000" w:themeColor="text1"/>
          <w:sz w:val="24"/>
        </w:rPr>
        <w:t>j</w:t>
      </w:r>
      <w:r w:rsidRPr="00204EFC">
        <w:rPr>
          <w:rFonts w:cs="Arial"/>
          <w:b/>
          <w:color w:val="000000" w:themeColor="text1"/>
          <w:sz w:val="24"/>
        </w:rPr>
        <w:t xml:space="preserve">urisdiction of the </w:t>
      </w:r>
      <w:r w:rsidR="00051A6D" w:rsidRPr="00204EFC">
        <w:rPr>
          <w:rFonts w:cs="Arial"/>
          <w:b/>
          <w:color w:val="000000" w:themeColor="text1"/>
          <w:sz w:val="24"/>
        </w:rPr>
        <w:t>c</w:t>
      </w:r>
      <w:r w:rsidRPr="00204EFC">
        <w:rPr>
          <w:rFonts w:cs="Arial"/>
          <w:b/>
          <w:color w:val="000000" w:themeColor="text1"/>
          <w:sz w:val="24"/>
        </w:rPr>
        <w:t>ourt</w:t>
      </w:r>
    </w:p>
    <w:p w14:paraId="3DDC9810" w14:textId="5031CDEF" w:rsidR="005B1BDC" w:rsidRPr="00204EFC" w:rsidRDefault="0002021E" w:rsidP="00A35D4C">
      <w:pPr>
        <w:pStyle w:val="PlainText"/>
        <w:spacing w:after="240"/>
        <w:rPr>
          <w:rFonts w:cs="Arial"/>
          <w:color w:val="000000" w:themeColor="text1"/>
          <w:szCs w:val="24"/>
        </w:rPr>
      </w:pPr>
      <w:r w:rsidRPr="00204EFC">
        <w:rPr>
          <w:rFonts w:cs="Arial"/>
          <w:color w:val="000000" w:themeColor="text1"/>
          <w:szCs w:val="24"/>
        </w:rPr>
        <w:t>In other cases</w:t>
      </w:r>
      <w:r w:rsidR="005E0495" w:rsidRPr="00204EFC">
        <w:rPr>
          <w:rFonts w:cs="Arial"/>
          <w:color w:val="000000" w:themeColor="text1"/>
          <w:szCs w:val="24"/>
        </w:rPr>
        <w:t>,</w:t>
      </w:r>
      <w:r w:rsidRPr="00204EFC">
        <w:rPr>
          <w:rFonts w:cs="Arial"/>
          <w:color w:val="000000" w:themeColor="text1"/>
          <w:szCs w:val="24"/>
        </w:rPr>
        <w:t xml:space="preserve"> action has been taken under the inherent jurisdiction of the High Court</w:t>
      </w:r>
      <w:r w:rsidR="00DA69A2" w:rsidRPr="00204EFC">
        <w:rPr>
          <w:rFonts w:cs="Arial"/>
          <w:color w:val="000000" w:themeColor="text1"/>
          <w:szCs w:val="24"/>
        </w:rPr>
        <w:t xml:space="preserve"> in relation to radicalisation</w:t>
      </w:r>
      <w:r w:rsidR="00035A2D" w:rsidRPr="00204EFC">
        <w:rPr>
          <w:rFonts w:cs="Arial"/>
          <w:color w:val="000000" w:themeColor="text1"/>
          <w:szCs w:val="24"/>
        </w:rPr>
        <w:t xml:space="preserve"> </w:t>
      </w:r>
      <w:r w:rsidR="00035A2D" w:rsidRPr="00204EFC">
        <w:rPr>
          <w:rFonts w:cs="Arial"/>
          <w:color w:val="000000" w:themeColor="text1"/>
          <w:szCs w:val="24"/>
        </w:rPr>
        <w:lastRenderedPageBreak/>
        <w:t>and/or travel to a conflict zone</w:t>
      </w:r>
      <w:r w:rsidRPr="00204EFC">
        <w:rPr>
          <w:rFonts w:cs="Arial"/>
          <w:color w:val="000000" w:themeColor="text1"/>
          <w:szCs w:val="24"/>
        </w:rPr>
        <w:t>. </w:t>
      </w:r>
      <w:r w:rsidR="00051A6D" w:rsidRPr="00204EFC">
        <w:rPr>
          <w:rFonts w:cs="Arial"/>
          <w:color w:val="000000" w:themeColor="text1"/>
          <w:szCs w:val="24"/>
        </w:rPr>
        <w:t xml:space="preserve">An application can be made to the High Court without notice to the parents, and even when the child has already been taken out of the country as inherent jurisdiction orders are recognised by many other countries. </w:t>
      </w:r>
      <w:r w:rsidR="007E4B5D" w:rsidRPr="00204EFC">
        <w:rPr>
          <w:rFonts w:cs="Arial"/>
          <w:color w:val="000000" w:themeColor="text1"/>
          <w:szCs w:val="24"/>
        </w:rPr>
        <w:t xml:space="preserve">Wardship is one part of the High Court’s inherent jurisdiction and offers immediate protection. </w:t>
      </w:r>
      <w:r w:rsidRPr="00204EFC">
        <w:rPr>
          <w:rFonts w:cs="Arial"/>
          <w:color w:val="000000" w:themeColor="text1"/>
          <w:szCs w:val="24"/>
        </w:rPr>
        <w:t>Under the inherent jurisdiction the courts have very broad powers to protect children, including imposing conditions on others both within and outside a child’s family.</w:t>
      </w:r>
      <w:r w:rsidR="004F0571" w:rsidRPr="00204EFC">
        <w:rPr>
          <w:rFonts w:cs="Arial"/>
          <w:color w:val="000000" w:themeColor="text1"/>
          <w:szCs w:val="24"/>
        </w:rPr>
        <w:t xml:space="preserve"> The conditions that may be imposed include:</w:t>
      </w:r>
    </w:p>
    <w:p w14:paraId="174992A1" w14:textId="77777777" w:rsidR="00E201AF" w:rsidRDefault="00E201AF">
      <w:pPr>
        <w:spacing w:after="0" w:line="240" w:lineRule="auto"/>
        <w:rPr>
          <w:rFonts w:eastAsiaTheme="minorHAnsi" w:cs="Arial"/>
          <w:color w:val="000000" w:themeColor="text1"/>
          <w:sz w:val="24"/>
        </w:rPr>
      </w:pPr>
      <w:r>
        <w:rPr>
          <w:rFonts w:cs="Arial"/>
          <w:color w:val="000000" w:themeColor="text1"/>
        </w:rPr>
        <w:br w:type="page"/>
      </w:r>
    </w:p>
    <w:p w14:paraId="25A51CCB" w14:textId="0F6B0272" w:rsidR="004F0571" w:rsidRPr="00204EFC" w:rsidRDefault="007B1379" w:rsidP="00A35D4C">
      <w:pPr>
        <w:pStyle w:val="PlainText"/>
        <w:numPr>
          <w:ilvl w:val="0"/>
          <w:numId w:val="13"/>
        </w:numPr>
        <w:spacing w:after="120"/>
        <w:ind w:left="714" w:hanging="357"/>
        <w:rPr>
          <w:rFonts w:cs="Arial"/>
          <w:color w:val="000000" w:themeColor="text1"/>
          <w:szCs w:val="24"/>
        </w:rPr>
      </w:pPr>
      <w:r w:rsidRPr="00204EFC">
        <w:rPr>
          <w:rFonts w:cs="Arial"/>
          <w:color w:val="000000" w:themeColor="text1"/>
          <w:szCs w:val="24"/>
        </w:rPr>
        <w:lastRenderedPageBreak/>
        <w:t>c</w:t>
      </w:r>
      <w:r w:rsidR="004F0571" w:rsidRPr="00204EFC">
        <w:rPr>
          <w:rFonts w:cs="Arial"/>
          <w:color w:val="000000" w:themeColor="text1"/>
          <w:szCs w:val="24"/>
        </w:rPr>
        <w:t>onfiscation of travel documents;</w:t>
      </w:r>
    </w:p>
    <w:p w14:paraId="4A4E6718" w14:textId="77777777" w:rsidR="00051A6D" w:rsidRPr="00204EFC" w:rsidRDefault="00051A6D" w:rsidP="00A35D4C">
      <w:pPr>
        <w:pStyle w:val="PlainText"/>
        <w:numPr>
          <w:ilvl w:val="0"/>
          <w:numId w:val="13"/>
        </w:numPr>
        <w:spacing w:after="120"/>
        <w:ind w:left="714" w:hanging="357"/>
        <w:rPr>
          <w:rFonts w:cs="Arial"/>
          <w:color w:val="000000" w:themeColor="text1"/>
          <w:szCs w:val="24"/>
        </w:rPr>
      </w:pPr>
      <w:r w:rsidRPr="00204EFC">
        <w:rPr>
          <w:rFonts w:cs="Arial"/>
          <w:color w:val="000000" w:themeColor="text1"/>
          <w:szCs w:val="24"/>
        </w:rPr>
        <w:t>prohibition from leaving the country or making travel arrangements;</w:t>
      </w:r>
    </w:p>
    <w:p w14:paraId="3CD5EB45" w14:textId="77777777" w:rsidR="00051A6D" w:rsidRPr="00204EFC" w:rsidRDefault="00051A6D" w:rsidP="00A35D4C">
      <w:pPr>
        <w:pStyle w:val="PlainText"/>
        <w:numPr>
          <w:ilvl w:val="0"/>
          <w:numId w:val="13"/>
        </w:numPr>
        <w:spacing w:after="120"/>
        <w:ind w:left="714" w:hanging="357"/>
        <w:rPr>
          <w:rFonts w:cs="Arial"/>
          <w:color w:val="000000" w:themeColor="text1"/>
          <w:szCs w:val="24"/>
        </w:rPr>
      </w:pPr>
      <w:r w:rsidRPr="00204EFC">
        <w:rPr>
          <w:rFonts w:cs="Arial"/>
          <w:color w:val="000000" w:themeColor="text1"/>
          <w:szCs w:val="24"/>
        </w:rPr>
        <w:t>asking the UK Border Agency not to issue new passports;</w:t>
      </w:r>
    </w:p>
    <w:p w14:paraId="75AF90F4" w14:textId="77777777" w:rsidR="004F0571" w:rsidRPr="00204EFC" w:rsidRDefault="007B1379" w:rsidP="00A35D4C">
      <w:pPr>
        <w:pStyle w:val="PlainText"/>
        <w:numPr>
          <w:ilvl w:val="0"/>
          <w:numId w:val="13"/>
        </w:numPr>
        <w:spacing w:after="120"/>
        <w:ind w:left="714" w:hanging="357"/>
        <w:rPr>
          <w:rFonts w:cs="Arial"/>
          <w:color w:val="000000" w:themeColor="text1"/>
          <w:szCs w:val="24"/>
        </w:rPr>
      </w:pPr>
      <w:r w:rsidRPr="00204EFC">
        <w:rPr>
          <w:rFonts w:cs="Arial"/>
          <w:color w:val="000000" w:themeColor="text1"/>
          <w:szCs w:val="24"/>
        </w:rPr>
        <w:t>p</w:t>
      </w:r>
      <w:r w:rsidR="004F0571" w:rsidRPr="00204EFC">
        <w:rPr>
          <w:rFonts w:cs="Arial"/>
          <w:color w:val="000000" w:themeColor="text1"/>
          <w:szCs w:val="24"/>
        </w:rPr>
        <w:t>rohibiting individuals from association with a child; and</w:t>
      </w:r>
    </w:p>
    <w:p w14:paraId="6B58C724" w14:textId="77777777" w:rsidR="004F0571" w:rsidRPr="00204EFC" w:rsidRDefault="007B1379" w:rsidP="00BE5CD7">
      <w:pPr>
        <w:pStyle w:val="PlainText"/>
        <w:numPr>
          <w:ilvl w:val="0"/>
          <w:numId w:val="13"/>
        </w:numPr>
        <w:ind w:left="714" w:hanging="357"/>
        <w:rPr>
          <w:rFonts w:cs="Arial"/>
          <w:color w:val="000000" w:themeColor="text1"/>
          <w:szCs w:val="24"/>
        </w:rPr>
      </w:pPr>
      <w:r w:rsidRPr="00204EFC">
        <w:rPr>
          <w:rFonts w:cs="Arial"/>
          <w:color w:val="000000" w:themeColor="text1"/>
          <w:szCs w:val="24"/>
        </w:rPr>
        <w:t>r</w:t>
      </w:r>
      <w:r w:rsidR="004F0571" w:rsidRPr="00204EFC">
        <w:rPr>
          <w:rFonts w:cs="Arial"/>
          <w:color w:val="000000" w:themeColor="text1"/>
          <w:szCs w:val="24"/>
        </w:rPr>
        <w:t>estrictions on movement within the UK</w:t>
      </w:r>
      <w:r w:rsidR="006E4C44" w:rsidRPr="00204EFC">
        <w:rPr>
          <w:rFonts w:cs="Arial"/>
          <w:color w:val="000000" w:themeColor="text1"/>
          <w:szCs w:val="24"/>
        </w:rPr>
        <w:t>-</w:t>
      </w:r>
      <w:r w:rsidR="004F0571" w:rsidRPr="00204EFC">
        <w:rPr>
          <w:rFonts w:cs="Arial"/>
          <w:color w:val="000000" w:themeColor="text1"/>
          <w:szCs w:val="24"/>
        </w:rPr>
        <w:t xml:space="preserve"> electronic tagging</w:t>
      </w:r>
      <w:r w:rsidR="00952168" w:rsidRPr="00204EFC">
        <w:rPr>
          <w:rFonts w:cs="Arial"/>
          <w:color w:val="000000" w:themeColor="text1"/>
          <w:szCs w:val="24"/>
        </w:rPr>
        <w:t xml:space="preserve"> and curfew of the parents has been used in one case</w:t>
      </w:r>
      <w:r w:rsidR="004F0571" w:rsidRPr="00204EFC">
        <w:rPr>
          <w:rFonts w:cs="Arial"/>
          <w:color w:val="000000" w:themeColor="text1"/>
          <w:szCs w:val="24"/>
        </w:rPr>
        <w:t>.</w:t>
      </w:r>
    </w:p>
    <w:p w14:paraId="47DC9C80" w14:textId="77777777" w:rsidR="004F0571" w:rsidRPr="00204EFC" w:rsidRDefault="004F0571" w:rsidP="000C2DBC">
      <w:pPr>
        <w:pStyle w:val="PlainText"/>
        <w:rPr>
          <w:rFonts w:cs="Arial"/>
          <w:color w:val="000000" w:themeColor="text1"/>
          <w:szCs w:val="24"/>
        </w:rPr>
      </w:pPr>
    </w:p>
    <w:p w14:paraId="655DCA24" w14:textId="5AEA7697" w:rsidR="0038472F" w:rsidRPr="00204EFC" w:rsidRDefault="004F0571" w:rsidP="00A35D4C">
      <w:pPr>
        <w:pStyle w:val="PlainText"/>
        <w:spacing w:after="120"/>
        <w:rPr>
          <w:rFonts w:cs="Arial"/>
          <w:szCs w:val="24"/>
        </w:rPr>
      </w:pPr>
      <w:r w:rsidRPr="00204EFC">
        <w:rPr>
          <w:rFonts w:cs="Arial"/>
          <w:color w:val="000000" w:themeColor="text1"/>
          <w:szCs w:val="24"/>
        </w:rPr>
        <w:t xml:space="preserve">Section 100 of the Children Act 1989 </w:t>
      </w:r>
      <w:r w:rsidR="00784F08" w:rsidRPr="00204EFC">
        <w:rPr>
          <w:rFonts w:cs="Arial"/>
          <w:color w:val="000000" w:themeColor="text1"/>
          <w:szCs w:val="24"/>
        </w:rPr>
        <w:t xml:space="preserve">limits the ability of local authorities to make applications under the inherent jurisdiction. It </w:t>
      </w:r>
      <w:r w:rsidRPr="00204EFC">
        <w:rPr>
          <w:rFonts w:cs="Arial"/>
          <w:color w:val="000000" w:themeColor="text1"/>
          <w:szCs w:val="24"/>
        </w:rPr>
        <w:t>makes clear that p</w:t>
      </w:r>
      <w:r w:rsidR="00E31C12" w:rsidRPr="00204EFC">
        <w:rPr>
          <w:rFonts w:cs="Arial"/>
          <w:color w:val="000000" w:themeColor="text1"/>
          <w:szCs w:val="24"/>
        </w:rPr>
        <w:t>roc</w:t>
      </w:r>
      <w:r w:rsidR="00475E95" w:rsidRPr="00204EFC">
        <w:rPr>
          <w:rFonts w:cs="Arial"/>
          <w:szCs w:val="24"/>
        </w:rPr>
        <w:t xml:space="preserve">eedings under the inherent jurisdiction </w:t>
      </w:r>
      <w:r w:rsidR="00805C09" w:rsidRPr="00204EFC">
        <w:rPr>
          <w:rFonts w:cs="Arial"/>
          <w:szCs w:val="24"/>
        </w:rPr>
        <w:t>can only be</w:t>
      </w:r>
      <w:r w:rsidR="00475E95" w:rsidRPr="00204EFC">
        <w:rPr>
          <w:rFonts w:cs="Arial"/>
          <w:szCs w:val="24"/>
        </w:rPr>
        <w:t xml:space="preserve"> commenced </w:t>
      </w:r>
      <w:r w:rsidR="00805C09" w:rsidRPr="00204EFC">
        <w:rPr>
          <w:rFonts w:cs="Arial"/>
          <w:szCs w:val="24"/>
        </w:rPr>
        <w:t>where</w:t>
      </w:r>
      <w:r w:rsidR="007E4B5D" w:rsidRPr="00204EFC">
        <w:rPr>
          <w:rFonts w:cs="Arial"/>
          <w:szCs w:val="24"/>
        </w:rPr>
        <w:t xml:space="preserve"> local authorit</w:t>
      </w:r>
      <w:r w:rsidR="00B72841">
        <w:rPr>
          <w:rFonts w:cs="Arial"/>
          <w:szCs w:val="24"/>
        </w:rPr>
        <w:t>ies</w:t>
      </w:r>
      <w:r w:rsidR="007E4B5D" w:rsidRPr="00204EFC">
        <w:rPr>
          <w:rFonts w:cs="Arial"/>
          <w:szCs w:val="24"/>
        </w:rPr>
        <w:t xml:space="preserve"> cannot </w:t>
      </w:r>
      <w:r w:rsidR="00051A6D" w:rsidRPr="00204EFC">
        <w:rPr>
          <w:rFonts w:cs="Arial"/>
          <w:szCs w:val="24"/>
        </w:rPr>
        <w:t>use</w:t>
      </w:r>
      <w:r w:rsidR="007E4B5D" w:rsidRPr="00204EFC">
        <w:rPr>
          <w:rFonts w:cs="Arial"/>
          <w:szCs w:val="24"/>
        </w:rPr>
        <w:t xml:space="preserve"> powers under </w:t>
      </w:r>
      <w:r w:rsidR="00805C09" w:rsidRPr="00204EFC">
        <w:rPr>
          <w:rFonts w:cs="Arial"/>
          <w:szCs w:val="24"/>
        </w:rPr>
        <w:t>the Children</w:t>
      </w:r>
      <w:r w:rsidR="00475E95" w:rsidRPr="00204EFC">
        <w:rPr>
          <w:rFonts w:cs="Arial"/>
          <w:szCs w:val="24"/>
        </w:rPr>
        <w:t xml:space="preserve"> Act</w:t>
      </w:r>
      <w:r w:rsidR="00225B5F" w:rsidRPr="00204EFC">
        <w:rPr>
          <w:rFonts w:cs="Arial"/>
          <w:szCs w:val="24"/>
        </w:rPr>
        <w:t xml:space="preserve"> 1989</w:t>
      </w:r>
      <w:r w:rsidR="00051A6D" w:rsidRPr="00204EFC">
        <w:rPr>
          <w:rFonts w:cs="Arial"/>
          <w:szCs w:val="24"/>
        </w:rPr>
        <w:t xml:space="preserve"> to achieve their goal</w:t>
      </w:r>
      <w:r w:rsidR="00475E95" w:rsidRPr="00204EFC">
        <w:rPr>
          <w:rFonts w:cs="Arial"/>
          <w:szCs w:val="24"/>
        </w:rPr>
        <w:t>.</w:t>
      </w:r>
      <w:r w:rsidR="007E4B5D" w:rsidRPr="00204EFC">
        <w:rPr>
          <w:rFonts w:cs="Arial"/>
          <w:szCs w:val="24"/>
        </w:rPr>
        <w:t xml:space="preserve"> </w:t>
      </w:r>
      <w:r w:rsidR="00FB4F90" w:rsidRPr="00204EFC">
        <w:rPr>
          <w:rFonts w:cs="Arial"/>
          <w:szCs w:val="24"/>
        </w:rPr>
        <w:t>In cases involving local authorities, the court can only grant leave if it is satisfied that the child is likely to suffer significant harm if the court does not exercise its inherent jurisdiction</w:t>
      </w:r>
      <w:r w:rsidR="00972F00" w:rsidRPr="00204EFC">
        <w:rPr>
          <w:rFonts w:cs="Arial"/>
          <w:szCs w:val="24"/>
        </w:rPr>
        <w:t xml:space="preserve">. The police </w:t>
      </w:r>
      <w:r w:rsidR="00427F0C" w:rsidRPr="00204EFC">
        <w:rPr>
          <w:rFonts w:cs="Arial"/>
          <w:szCs w:val="24"/>
        </w:rPr>
        <w:t>can</w:t>
      </w:r>
      <w:r w:rsidR="007E4B5D" w:rsidRPr="00204EFC">
        <w:rPr>
          <w:rFonts w:cs="Arial"/>
          <w:szCs w:val="24"/>
        </w:rPr>
        <w:t xml:space="preserve"> also apply directly under</w:t>
      </w:r>
      <w:r w:rsidR="00225B5F" w:rsidRPr="00204EFC">
        <w:rPr>
          <w:rFonts w:cs="Arial"/>
          <w:szCs w:val="24"/>
        </w:rPr>
        <w:t xml:space="preserve"> the</w:t>
      </w:r>
      <w:r w:rsidR="007E4B5D" w:rsidRPr="00204EFC">
        <w:rPr>
          <w:rFonts w:cs="Arial"/>
          <w:szCs w:val="24"/>
        </w:rPr>
        <w:t xml:space="preserve"> inherent jurisdiction</w:t>
      </w:r>
      <w:r w:rsidR="00805C09" w:rsidRPr="00204EFC">
        <w:rPr>
          <w:rFonts w:cs="Arial"/>
          <w:szCs w:val="24"/>
        </w:rPr>
        <w:t xml:space="preserve"> but should do so in discussion with the local authority</w:t>
      </w:r>
      <w:r w:rsidR="007E4B5D" w:rsidRPr="00204EFC">
        <w:rPr>
          <w:rFonts w:cs="Arial"/>
          <w:szCs w:val="24"/>
        </w:rPr>
        <w:t xml:space="preserve">.  </w:t>
      </w:r>
    </w:p>
    <w:p w14:paraId="30E12802" w14:textId="49CAF989" w:rsidR="007E4B5D" w:rsidRPr="00204EFC" w:rsidRDefault="0038472F" w:rsidP="00A35D4C">
      <w:pPr>
        <w:pStyle w:val="PlainText"/>
        <w:spacing w:after="120"/>
        <w:rPr>
          <w:rFonts w:cs="Arial"/>
          <w:szCs w:val="24"/>
        </w:rPr>
      </w:pPr>
      <w:r w:rsidRPr="00204EFC">
        <w:rPr>
          <w:rFonts w:cs="Arial"/>
          <w:szCs w:val="24"/>
        </w:rPr>
        <w:lastRenderedPageBreak/>
        <w:t xml:space="preserve">When considering </w:t>
      </w:r>
      <w:r w:rsidR="00051A6D" w:rsidRPr="00204EFC">
        <w:rPr>
          <w:rFonts w:cs="Arial"/>
          <w:szCs w:val="24"/>
        </w:rPr>
        <w:t xml:space="preserve">court </w:t>
      </w:r>
      <w:r w:rsidRPr="00204EFC">
        <w:rPr>
          <w:rFonts w:cs="Arial"/>
          <w:szCs w:val="24"/>
        </w:rPr>
        <w:t>applications the local authority should ensure that they contact the police at the earliest opportunity</w:t>
      </w:r>
      <w:r w:rsidR="00051A6D" w:rsidRPr="00204EFC">
        <w:rPr>
          <w:rFonts w:cs="Arial"/>
          <w:szCs w:val="24"/>
        </w:rPr>
        <w:t xml:space="preserve"> and consult with them at a senior level</w:t>
      </w:r>
      <w:r w:rsidRPr="00204EFC">
        <w:rPr>
          <w:rFonts w:cs="Arial"/>
          <w:szCs w:val="24"/>
        </w:rPr>
        <w:t xml:space="preserve">.  The police may have additional information and be able to advise on conditions that should be considered as part of the application. </w:t>
      </w:r>
    </w:p>
    <w:p w14:paraId="569B79D0" w14:textId="0AD3D976" w:rsidR="007E4B5D" w:rsidRPr="00204EFC" w:rsidRDefault="007E4B5D" w:rsidP="00A35D4C">
      <w:pPr>
        <w:pStyle w:val="PlainText"/>
        <w:spacing w:after="120"/>
        <w:rPr>
          <w:rFonts w:cs="Arial"/>
          <w:szCs w:val="24"/>
        </w:rPr>
      </w:pPr>
      <w:r w:rsidRPr="00204EFC">
        <w:rPr>
          <w:rFonts w:cs="Arial"/>
          <w:szCs w:val="24"/>
        </w:rPr>
        <w:t xml:space="preserve">In all cases, the child’s welfare will be the court’s paramount consideration. The exercise of the inherent jurisdiction is discretionary, so the court may refuse to exercise its powers where it considers it inappropriate to do so.  </w:t>
      </w:r>
    </w:p>
    <w:p w14:paraId="11A999D1" w14:textId="44C52383" w:rsidR="00237B56" w:rsidRPr="00204EFC" w:rsidRDefault="00993870" w:rsidP="00A35D4C">
      <w:pPr>
        <w:pStyle w:val="PlainText"/>
        <w:spacing w:after="120"/>
        <w:rPr>
          <w:rFonts w:cs="Arial"/>
          <w:szCs w:val="24"/>
        </w:rPr>
      </w:pPr>
      <w:r w:rsidRPr="00204EFC">
        <w:rPr>
          <w:rFonts w:cs="Arial"/>
          <w:szCs w:val="24"/>
        </w:rPr>
        <w:t>In some cases</w:t>
      </w:r>
      <w:r w:rsidR="005132B4" w:rsidRPr="00204EFC">
        <w:rPr>
          <w:rFonts w:cs="Arial"/>
          <w:szCs w:val="24"/>
        </w:rPr>
        <w:t>,</w:t>
      </w:r>
      <w:r w:rsidRPr="00204EFC">
        <w:rPr>
          <w:rFonts w:cs="Arial"/>
          <w:szCs w:val="24"/>
        </w:rPr>
        <w:t xml:space="preserve"> </w:t>
      </w:r>
      <w:r w:rsidR="00EC4807" w:rsidRPr="00204EFC">
        <w:rPr>
          <w:rFonts w:cs="Arial"/>
          <w:szCs w:val="24"/>
        </w:rPr>
        <w:t xml:space="preserve">action </w:t>
      </w:r>
      <w:r w:rsidR="005132B4" w:rsidRPr="00204EFC">
        <w:rPr>
          <w:rFonts w:cs="Arial"/>
          <w:szCs w:val="24"/>
        </w:rPr>
        <w:t xml:space="preserve">has been </w:t>
      </w:r>
      <w:r w:rsidR="00EC4807" w:rsidRPr="00204EFC">
        <w:rPr>
          <w:rFonts w:cs="Arial"/>
          <w:szCs w:val="24"/>
        </w:rPr>
        <w:t>initiated under the Children Act 1989</w:t>
      </w:r>
      <w:r w:rsidR="00F51AEA" w:rsidRPr="00204EFC">
        <w:rPr>
          <w:rFonts w:cs="Arial"/>
          <w:szCs w:val="24"/>
        </w:rPr>
        <w:t>,</w:t>
      </w:r>
      <w:r w:rsidR="00EC4807" w:rsidRPr="00204EFC">
        <w:rPr>
          <w:rFonts w:cs="Arial"/>
          <w:szCs w:val="24"/>
        </w:rPr>
        <w:t xml:space="preserve"> but subsequently</w:t>
      </w:r>
      <w:r w:rsidRPr="00204EFC">
        <w:rPr>
          <w:rFonts w:cs="Arial"/>
          <w:szCs w:val="24"/>
        </w:rPr>
        <w:t xml:space="preserve"> taken </w:t>
      </w:r>
      <w:r w:rsidR="007E4B5D" w:rsidRPr="00204EFC">
        <w:rPr>
          <w:rFonts w:cs="Arial"/>
          <w:szCs w:val="24"/>
        </w:rPr>
        <w:t xml:space="preserve">under the inherent jurisdiction </w:t>
      </w:r>
      <w:r w:rsidRPr="00204EFC">
        <w:rPr>
          <w:rFonts w:cs="Arial"/>
          <w:szCs w:val="24"/>
        </w:rPr>
        <w:t>w</w:t>
      </w:r>
      <w:r w:rsidR="007E4B5D" w:rsidRPr="00204EFC">
        <w:rPr>
          <w:rFonts w:cs="Arial"/>
          <w:szCs w:val="24"/>
        </w:rPr>
        <w:t xml:space="preserve">here it was judged that it was in the best interests of the child </w:t>
      </w:r>
      <w:r w:rsidRPr="00204EFC">
        <w:rPr>
          <w:rFonts w:cs="Arial"/>
          <w:szCs w:val="24"/>
        </w:rPr>
        <w:t>to remain with their parents</w:t>
      </w:r>
      <w:r w:rsidR="00FB4F90" w:rsidRPr="00204EFC">
        <w:rPr>
          <w:rFonts w:cs="Arial"/>
          <w:szCs w:val="24"/>
        </w:rPr>
        <w:t>.</w:t>
      </w:r>
      <w:r w:rsidR="007E4B5D" w:rsidRPr="00204EFC">
        <w:rPr>
          <w:rFonts w:cs="Arial"/>
          <w:szCs w:val="24"/>
        </w:rPr>
        <w:t xml:space="preserve"> </w:t>
      </w:r>
    </w:p>
    <w:p w14:paraId="41434D11" w14:textId="4470F134" w:rsidR="00F03C9F" w:rsidRPr="00204EFC" w:rsidRDefault="00F55D1A" w:rsidP="00A35D4C">
      <w:pPr>
        <w:pStyle w:val="PlainText"/>
        <w:spacing w:after="120"/>
        <w:rPr>
          <w:rStyle w:val="Hyperlink"/>
          <w:rFonts w:cs="Arial"/>
          <w:szCs w:val="24"/>
        </w:rPr>
      </w:pPr>
      <w:r w:rsidRPr="00204EFC">
        <w:rPr>
          <w:rFonts w:cs="Arial"/>
          <w:szCs w:val="24"/>
        </w:rPr>
        <w:t xml:space="preserve">The President of the Family Division has </w:t>
      </w:r>
      <w:r w:rsidR="00972F00" w:rsidRPr="00204EFC">
        <w:rPr>
          <w:rFonts w:cs="Arial"/>
          <w:szCs w:val="24"/>
        </w:rPr>
        <w:t xml:space="preserve">recently </w:t>
      </w:r>
      <w:r w:rsidRPr="00204EFC">
        <w:rPr>
          <w:rFonts w:cs="Arial"/>
          <w:szCs w:val="24"/>
        </w:rPr>
        <w:t xml:space="preserve">issued guidance for judges and advocates involved in radicalisation cases </w:t>
      </w:r>
      <w:r w:rsidR="00A80221" w:rsidRPr="00204EFC">
        <w:rPr>
          <w:rFonts w:cs="Arial"/>
          <w:szCs w:val="24"/>
        </w:rPr>
        <w:t xml:space="preserve">(including travel to Syria) </w:t>
      </w:r>
      <w:r w:rsidRPr="00204EFC">
        <w:rPr>
          <w:rFonts w:cs="Arial"/>
          <w:szCs w:val="24"/>
        </w:rPr>
        <w:t xml:space="preserve">in the family courts: </w:t>
      </w:r>
      <w:hyperlink r:id="rId9" w:history="1">
        <w:r w:rsidR="00A35D4C" w:rsidRPr="000E31F8">
          <w:rPr>
            <w:rStyle w:val="Hyperlink"/>
            <w:rFonts w:cs="Arial"/>
            <w:szCs w:val="24"/>
          </w:rPr>
          <w:t>https://www.judiciary.gov.uk/wp-content/uploads/2015/10/pfd-guidance-radicalisation-cases.pdf</w:t>
        </w:r>
      </w:hyperlink>
      <w:r w:rsidR="00A35D4C">
        <w:rPr>
          <w:rFonts w:cs="Arial"/>
          <w:szCs w:val="24"/>
        </w:rPr>
        <w:t xml:space="preserve"> </w:t>
      </w:r>
    </w:p>
    <w:p w14:paraId="1BCFD33A" w14:textId="3BE2346D" w:rsidR="006E4C44" w:rsidRPr="00204EFC" w:rsidRDefault="00F03C9F" w:rsidP="00A35D4C">
      <w:pPr>
        <w:pStyle w:val="PlainText"/>
        <w:spacing w:after="120"/>
        <w:rPr>
          <w:rStyle w:val="Hyperlink"/>
          <w:rFonts w:cs="Arial"/>
          <w:color w:val="auto"/>
          <w:szCs w:val="24"/>
          <w:u w:val="none"/>
        </w:rPr>
      </w:pPr>
      <w:r w:rsidRPr="00204EFC">
        <w:rPr>
          <w:rStyle w:val="Hyperlink"/>
          <w:rFonts w:cs="Arial"/>
          <w:color w:val="auto"/>
          <w:szCs w:val="24"/>
          <w:u w:val="none"/>
        </w:rPr>
        <w:t>The content of the guidance might be reviewed from time to time, and it is therefore recommended that the website is checked regularly for any updates</w:t>
      </w:r>
      <w:r w:rsidR="00A574BE" w:rsidRPr="00204EFC">
        <w:rPr>
          <w:rStyle w:val="Hyperlink"/>
          <w:rFonts w:cs="Arial"/>
          <w:color w:val="auto"/>
          <w:szCs w:val="24"/>
          <w:u w:val="none"/>
        </w:rPr>
        <w:t>.</w:t>
      </w:r>
    </w:p>
    <w:p w14:paraId="0EE72447" w14:textId="77777777" w:rsidR="006E4C44" w:rsidRPr="00204EFC" w:rsidRDefault="006E4C44" w:rsidP="00A35D4C">
      <w:pPr>
        <w:pStyle w:val="PlainText"/>
        <w:spacing w:after="360"/>
        <w:rPr>
          <w:rFonts w:cs="Arial"/>
          <w:b/>
          <w:szCs w:val="24"/>
        </w:rPr>
      </w:pPr>
      <w:r w:rsidRPr="00204EFC">
        <w:rPr>
          <w:rStyle w:val="Hyperlink"/>
          <w:rFonts w:cs="Arial"/>
          <w:b/>
          <w:color w:val="auto"/>
          <w:szCs w:val="24"/>
          <w:u w:val="none"/>
        </w:rPr>
        <w:lastRenderedPageBreak/>
        <w:t>The annex to this document gives examples of recent cases which may help inform local authority considerations of whether to take specific actions under the Children Act 1989 or via the inherent jurisdiction of the High Court.</w:t>
      </w:r>
    </w:p>
    <w:p w14:paraId="7679383F" w14:textId="704E93A0" w:rsidR="002771E2" w:rsidRPr="00204EFC" w:rsidRDefault="00FA2136" w:rsidP="00A35D4C">
      <w:pPr>
        <w:pStyle w:val="PlainText"/>
        <w:spacing w:after="120"/>
        <w:rPr>
          <w:rFonts w:cs="Arial"/>
          <w:b/>
          <w:szCs w:val="24"/>
        </w:rPr>
      </w:pPr>
      <w:r w:rsidRPr="00204EFC">
        <w:rPr>
          <w:rFonts w:cs="Arial"/>
          <w:b/>
          <w:szCs w:val="24"/>
        </w:rPr>
        <w:t>Information sharing</w:t>
      </w:r>
    </w:p>
    <w:p w14:paraId="236FAFC4" w14:textId="7B263F44" w:rsidR="00CB6012" w:rsidRPr="00204EFC" w:rsidRDefault="00CB6012" w:rsidP="00A35D4C">
      <w:pPr>
        <w:pStyle w:val="PlainText"/>
        <w:spacing w:after="120"/>
        <w:rPr>
          <w:rStyle w:val="Hyperlink"/>
          <w:rFonts w:cs="Arial"/>
          <w:szCs w:val="24"/>
        </w:rPr>
      </w:pPr>
      <w:r w:rsidRPr="00204EFC">
        <w:rPr>
          <w:rFonts w:cs="Arial"/>
          <w:szCs w:val="24"/>
        </w:rPr>
        <w:t xml:space="preserve">Statutory guidance, </w:t>
      </w:r>
      <w:r w:rsidRPr="00204EFC">
        <w:rPr>
          <w:rFonts w:cs="Arial"/>
          <w:i/>
          <w:szCs w:val="24"/>
        </w:rPr>
        <w:t xml:space="preserve">Working Together to Safeguard Children </w:t>
      </w:r>
      <w:r w:rsidRPr="00204EFC">
        <w:rPr>
          <w:rFonts w:cs="Arial"/>
          <w:szCs w:val="24"/>
        </w:rPr>
        <w:t>(</w:t>
      </w:r>
      <w:hyperlink r:id="rId10" w:history="1">
        <w:r w:rsidRPr="00204EFC">
          <w:rPr>
            <w:rStyle w:val="Hyperlink"/>
            <w:rFonts w:cs="Arial"/>
            <w:szCs w:val="24"/>
          </w:rPr>
          <w:t>https://www.gov.uk/government/uploads/system/uploads/attachment_data/file/419595/Working_Together_to_Safeguard_Children.pdf</w:t>
        </w:r>
      </w:hyperlink>
      <w:r w:rsidRPr="00204EFC">
        <w:rPr>
          <w:rFonts w:cs="Arial"/>
          <w:szCs w:val="24"/>
        </w:rPr>
        <w:t xml:space="preserve">) makes clear the importance of effective information sharing, and all organisations should have arrangements in place setting out the processes and the principles for sharing information with one another. </w:t>
      </w:r>
      <w:r w:rsidR="00047E38" w:rsidRPr="00204EFC">
        <w:rPr>
          <w:rFonts w:cs="Arial"/>
          <w:szCs w:val="24"/>
        </w:rPr>
        <w:t xml:space="preserve">General advice on information sharing is set out in </w:t>
      </w:r>
      <w:hyperlink r:id="rId11" w:history="1">
        <w:r w:rsidR="00047E38" w:rsidRPr="00204EFC">
          <w:rPr>
            <w:rStyle w:val="Hyperlink"/>
            <w:rFonts w:cs="Arial"/>
            <w:szCs w:val="24"/>
          </w:rPr>
          <w:t>https://www.gov.uk/government/publications/safeguarding-practitioners-information-sharing-advice</w:t>
        </w:r>
      </w:hyperlink>
      <w:r w:rsidR="00047E38" w:rsidRPr="00204EFC">
        <w:rPr>
          <w:rStyle w:val="Hyperlink"/>
          <w:rFonts w:cs="Arial"/>
          <w:szCs w:val="24"/>
        </w:rPr>
        <w:t xml:space="preserve">. </w:t>
      </w:r>
    </w:p>
    <w:p w14:paraId="12437BC3" w14:textId="6D7E06A2" w:rsidR="00DA5580" w:rsidRPr="00204EFC" w:rsidRDefault="00F03C9F" w:rsidP="00A35D4C">
      <w:pPr>
        <w:pStyle w:val="PlainText"/>
        <w:spacing w:after="120"/>
        <w:rPr>
          <w:rStyle w:val="Hyperlink"/>
          <w:rFonts w:cs="Arial"/>
          <w:color w:val="auto"/>
          <w:szCs w:val="24"/>
          <w:u w:val="none"/>
        </w:rPr>
      </w:pPr>
      <w:r w:rsidRPr="00204EFC">
        <w:rPr>
          <w:rStyle w:val="Hyperlink"/>
          <w:rFonts w:cs="Arial"/>
          <w:color w:val="auto"/>
          <w:szCs w:val="24"/>
          <w:u w:val="none"/>
        </w:rPr>
        <w:t>Statutory guidance on the Prevent duty guidance highlights the importance of information sharing agreements at local level to ensure the rights of individuals are fully protected</w:t>
      </w:r>
      <w:r w:rsidR="00DA5580" w:rsidRPr="00204EFC">
        <w:rPr>
          <w:rStyle w:val="Hyperlink"/>
          <w:rFonts w:cs="Arial"/>
          <w:color w:val="auto"/>
          <w:szCs w:val="24"/>
          <w:u w:val="none"/>
        </w:rPr>
        <w:t xml:space="preserve">. </w:t>
      </w:r>
      <w:r w:rsidR="00BB6269" w:rsidRPr="00204EFC">
        <w:rPr>
          <w:rStyle w:val="Hyperlink"/>
          <w:rFonts w:cs="Arial"/>
          <w:color w:val="auto"/>
          <w:szCs w:val="24"/>
          <w:u w:val="none"/>
        </w:rPr>
        <w:t>The general</w:t>
      </w:r>
      <w:r w:rsidR="00DA5580" w:rsidRPr="00204EFC">
        <w:rPr>
          <w:rStyle w:val="Hyperlink"/>
          <w:rFonts w:cs="Arial"/>
          <w:color w:val="auto"/>
          <w:szCs w:val="24"/>
          <w:u w:val="none"/>
        </w:rPr>
        <w:t xml:space="preserve"> principles</w:t>
      </w:r>
      <w:r w:rsidR="00BB6269" w:rsidRPr="00204EFC">
        <w:rPr>
          <w:rStyle w:val="Hyperlink"/>
          <w:rFonts w:cs="Arial"/>
          <w:color w:val="auto"/>
          <w:szCs w:val="24"/>
          <w:u w:val="none"/>
        </w:rPr>
        <w:t xml:space="preserve"> </w:t>
      </w:r>
      <w:r w:rsidR="00DA5580" w:rsidRPr="00204EFC">
        <w:rPr>
          <w:rStyle w:val="Hyperlink"/>
          <w:rFonts w:cs="Arial"/>
          <w:color w:val="auto"/>
          <w:szCs w:val="24"/>
          <w:u w:val="none"/>
        </w:rPr>
        <w:t xml:space="preserve">of necessity, proportionality, consent, and power to share </w:t>
      </w:r>
      <w:r w:rsidR="00CF6B68" w:rsidRPr="00204EFC">
        <w:rPr>
          <w:rStyle w:val="Hyperlink"/>
          <w:rFonts w:cs="Arial"/>
          <w:color w:val="auto"/>
          <w:szCs w:val="24"/>
          <w:u w:val="none"/>
        </w:rPr>
        <w:t xml:space="preserve">apply </w:t>
      </w:r>
      <w:r w:rsidR="00DA5580" w:rsidRPr="00204EFC">
        <w:rPr>
          <w:rStyle w:val="Hyperlink"/>
          <w:rFonts w:cs="Arial"/>
          <w:color w:val="auto"/>
          <w:szCs w:val="24"/>
          <w:u w:val="none"/>
        </w:rPr>
        <w:t>as well as the Data Protection Act and the Common Law Duty of Confidentiality</w:t>
      </w:r>
      <w:r w:rsidRPr="00204EFC">
        <w:rPr>
          <w:rStyle w:val="Hyperlink"/>
          <w:rFonts w:cs="Arial"/>
          <w:color w:val="auto"/>
          <w:szCs w:val="24"/>
          <w:u w:val="none"/>
        </w:rPr>
        <w:t xml:space="preserve"> (see </w:t>
      </w:r>
      <w:hyperlink r:id="rId12" w:history="1">
        <w:r w:rsidR="00A35D4C" w:rsidRPr="000E31F8">
          <w:rPr>
            <w:rStyle w:val="Hyperlink"/>
            <w:rFonts w:cs="Arial"/>
            <w:szCs w:val="24"/>
          </w:rPr>
          <w:t>https://www.gov.uk/government/publications/prevent-duty-guidance</w:t>
        </w:r>
      </w:hyperlink>
      <w:r w:rsidRPr="00204EFC">
        <w:rPr>
          <w:rStyle w:val="Hyperlink"/>
          <w:rFonts w:cs="Arial"/>
          <w:color w:val="auto"/>
          <w:szCs w:val="24"/>
          <w:u w:val="none"/>
        </w:rPr>
        <w:t>)</w:t>
      </w:r>
      <w:r w:rsidR="00DA5580" w:rsidRPr="00204EFC">
        <w:rPr>
          <w:rStyle w:val="Hyperlink"/>
          <w:rFonts w:cs="Arial"/>
          <w:color w:val="auto"/>
          <w:szCs w:val="24"/>
          <w:u w:val="none"/>
        </w:rPr>
        <w:t>.</w:t>
      </w:r>
    </w:p>
    <w:p w14:paraId="21CFB0F6" w14:textId="77777777" w:rsidR="00F03C9F" w:rsidRPr="00204EFC" w:rsidRDefault="00F03C9F" w:rsidP="00A35D4C">
      <w:pPr>
        <w:pStyle w:val="PlainText"/>
        <w:spacing w:after="120"/>
        <w:rPr>
          <w:rStyle w:val="Hyperlink"/>
          <w:rFonts w:cs="Arial"/>
          <w:color w:val="auto"/>
          <w:szCs w:val="24"/>
          <w:u w:val="none"/>
        </w:rPr>
      </w:pPr>
      <w:r w:rsidRPr="00204EFC">
        <w:rPr>
          <w:rStyle w:val="Hyperlink"/>
          <w:rFonts w:cs="Arial"/>
          <w:color w:val="auto"/>
          <w:szCs w:val="24"/>
          <w:u w:val="none"/>
        </w:rPr>
        <w:t>The Prevent duty guidance also explains that there may be circumstances where specified authorities, in the course of Prevent-related work, identify someone who may already be engaged in illegal terrorist-related activity. People suspected of being involved in such activity must be referred to the police.</w:t>
      </w:r>
    </w:p>
    <w:p w14:paraId="5C0C3570" w14:textId="458E0E68" w:rsidR="00F03C9F" w:rsidRPr="00204EFC" w:rsidRDefault="00F03C9F" w:rsidP="00A35D4C">
      <w:pPr>
        <w:pStyle w:val="PlainText"/>
        <w:spacing w:after="120"/>
        <w:rPr>
          <w:rStyle w:val="Hyperlink"/>
          <w:rFonts w:cs="Arial"/>
          <w:color w:val="auto"/>
          <w:szCs w:val="24"/>
          <w:u w:val="none"/>
        </w:rPr>
      </w:pPr>
      <w:r w:rsidRPr="00204EFC">
        <w:rPr>
          <w:rStyle w:val="Hyperlink"/>
          <w:rFonts w:cs="Arial"/>
          <w:color w:val="auto"/>
          <w:szCs w:val="24"/>
          <w:u w:val="none"/>
        </w:rPr>
        <w:t>Where a child referred to children's social care is vulnerable to radicalisation</w:t>
      </w:r>
      <w:r w:rsidR="00B72841">
        <w:rPr>
          <w:rStyle w:val="Hyperlink"/>
          <w:rFonts w:cs="Arial"/>
          <w:color w:val="auto"/>
          <w:szCs w:val="24"/>
          <w:u w:val="none"/>
        </w:rPr>
        <w:t>,</w:t>
      </w:r>
      <w:r w:rsidRPr="00204EFC">
        <w:rPr>
          <w:rStyle w:val="Hyperlink"/>
          <w:rFonts w:cs="Arial"/>
          <w:color w:val="auto"/>
          <w:szCs w:val="24"/>
          <w:u w:val="none"/>
        </w:rPr>
        <w:t xml:space="preserve"> a Channel referral </w:t>
      </w:r>
      <w:r w:rsidR="00F20FE1" w:rsidRPr="00204EFC">
        <w:rPr>
          <w:rStyle w:val="Hyperlink"/>
          <w:rFonts w:cs="Arial"/>
          <w:color w:val="auto"/>
          <w:szCs w:val="24"/>
          <w:u w:val="none"/>
        </w:rPr>
        <w:t>should also be considered</w:t>
      </w:r>
      <w:r w:rsidRPr="00204EFC">
        <w:rPr>
          <w:rStyle w:val="Hyperlink"/>
          <w:rFonts w:cs="Arial"/>
          <w:color w:val="auto"/>
          <w:szCs w:val="24"/>
          <w:u w:val="none"/>
        </w:rPr>
        <w:t xml:space="preserve">. In those cases where a Channel referral is not </w:t>
      </w:r>
      <w:r w:rsidR="00F20FE1" w:rsidRPr="00204EFC">
        <w:rPr>
          <w:rStyle w:val="Hyperlink"/>
          <w:rFonts w:cs="Arial"/>
          <w:color w:val="auto"/>
          <w:szCs w:val="24"/>
          <w:u w:val="none"/>
        </w:rPr>
        <w:t xml:space="preserve">appropriate </w:t>
      </w:r>
      <w:r w:rsidRPr="00204EFC">
        <w:rPr>
          <w:rStyle w:val="Hyperlink"/>
          <w:rFonts w:cs="Arial"/>
          <w:color w:val="auto"/>
          <w:szCs w:val="24"/>
          <w:u w:val="none"/>
        </w:rPr>
        <w:t>and other safeguarding interventions are pursued, the police should always be informed.</w:t>
      </w:r>
    </w:p>
    <w:p w14:paraId="00F8038F" w14:textId="4F0B25A6" w:rsidR="00670FD9" w:rsidRPr="00204EFC" w:rsidRDefault="00F03C9F" w:rsidP="00A35D4C">
      <w:pPr>
        <w:pStyle w:val="PlainText"/>
        <w:spacing w:after="120"/>
        <w:rPr>
          <w:rStyle w:val="Hyperlink"/>
          <w:rFonts w:cs="Arial"/>
          <w:color w:val="auto"/>
          <w:szCs w:val="24"/>
          <w:u w:val="none"/>
        </w:rPr>
      </w:pPr>
      <w:r w:rsidRPr="00204EFC">
        <w:rPr>
          <w:rStyle w:val="Hyperlink"/>
          <w:rFonts w:cs="Arial"/>
          <w:color w:val="auto"/>
          <w:szCs w:val="24"/>
          <w:u w:val="none"/>
        </w:rPr>
        <w:t xml:space="preserve">In cases which require comprehensive consequence management, for example where a child has returned from a conflict zone such as Syria, it is recommended that a member of the senior leadership </w:t>
      </w:r>
      <w:r w:rsidR="00A80221" w:rsidRPr="00204EFC">
        <w:rPr>
          <w:rStyle w:val="Hyperlink"/>
          <w:rFonts w:cs="Arial"/>
          <w:color w:val="auto"/>
          <w:szCs w:val="24"/>
          <w:u w:val="none"/>
        </w:rPr>
        <w:t xml:space="preserve">team </w:t>
      </w:r>
      <w:r w:rsidRPr="00204EFC">
        <w:rPr>
          <w:rStyle w:val="Hyperlink"/>
          <w:rFonts w:cs="Arial"/>
          <w:color w:val="auto"/>
          <w:szCs w:val="24"/>
          <w:u w:val="none"/>
        </w:rPr>
        <w:t>is appointed as strategic lead to ensure that</w:t>
      </w:r>
      <w:r w:rsidRPr="00696CD6">
        <w:rPr>
          <w:rStyle w:val="Hyperlink"/>
          <w:rFonts w:cs="Arial"/>
          <w:color w:val="auto"/>
          <w:szCs w:val="24"/>
          <w:u w:val="none"/>
        </w:rPr>
        <w:t xml:space="preserve"> </w:t>
      </w:r>
      <w:r w:rsidRPr="00204EFC">
        <w:rPr>
          <w:rStyle w:val="Hyperlink"/>
          <w:rFonts w:cs="Arial"/>
          <w:color w:val="auto"/>
          <w:szCs w:val="24"/>
          <w:u w:val="none"/>
        </w:rPr>
        <w:t>all aspects of a case, including information sharing and multi-agency work, are being conducted effectively.</w:t>
      </w:r>
    </w:p>
    <w:p w14:paraId="09041F14" w14:textId="16D15FED" w:rsidR="00BB6269" w:rsidRPr="00204EFC" w:rsidRDefault="00670FD9" w:rsidP="00A35D4C">
      <w:pPr>
        <w:pStyle w:val="PlainText"/>
        <w:spacing w:after="360"/>
        <w:rPr>
          <w:rStyle w:val="Hyperlink"/>
          <w:rFonts w:cs="Arial"/>
          <w:szCs w:val="24"/>
        </w:rPr>
      </w:pPr>
      <w:r w:rsidRPr="00204EFC">
        <w:rPr>
          <w:rStyle w:val="Hyperlink"/>
          <w:rFonts w:cs="Arial"/>
          <w:color w:val="auto"/>
          <w:szCs w:val="24"/>
          <w:u w:val="none"/>
        </w:rPr>
        <w:t xml:space="preserve">The police will have arrangements in place for sharing sensitive intelligence with safeguarding partners </w:t>
      </w:r>
      <w:r w:rsidR="00B72841" w:rsidRPr="00204EFC">
        <w:rPr>
          <w:rStyle w:val="Hyperlink"/>
          <w:rFonts w:cs="Arial"/>
          <w:color w:val="auto"/>
          <w:szCs w:val="24"/>
          <w:u w:val="none"/>
        </w:rPr>
        <w:t xml:space="preserve">when appropriate </w:t>
      </w:r>
      <w:r w:rsidRPr="00204EFC">
        <w:rPr>
          <w:rStyle w:val="Hyperlink"/>
          <w:rFonts w:cs="Arial"/>
          <w:color w:val="auto"/>
          <w:szCs w:val="24"/>
          <w:u w:val="none"/>
        </w:rPr>
        <w:t xml:space="preserve">so that they can fulfil their statutory responsibilities. </w:t>
      </w:r>
      <w:r w:rsidRPr="00204EFC">
        <w:rPr>
          <w:rStyle w:val="Hyperlink"/>
          <w:rFonts w:cs="Arial"/>
          <w:color w:val="auto"/>
          <w:szCs w:val="24"/>
          <w:u w:val="none"/>
        </w:rPr>
        <w:lastRenderedPageBreak/>
        <w:t>In some circumstances information may be shared in confidential multi-agency meetings on condition that it is not shared further. In such circumstances the police will always provide clear and explicit handling instructions.</w:t>
      </w:r>
    </w:p>
    <w:p w14:paraId="3A15E2AC" w14:textId="5A9418FD" w:rsidR="0004528C" w:rsidRPr="00204EFC" w:rsidRDefault="0004528C" w:rsidP="00A35D4C">
      <w:pPr>
        <w:pStyle w:val="PlainText"/>
        <w:spacing w:after="120"/>
        <w:rPr>
          <w:rFonts w:cs="Arial"/>
          <w:b/>
          <w:color w:val="000000" w:themeColor="text1"/>
          <w:szCs w:val="24"/>
        </w:rPr>
      </w:pPr>
      <w:r w:rsidRPr="00204EFC">
        <w:rPr>
          <w:rStyle w:val="Hyperlink"/>
          <w:rFonts w:cs="Arial"/>
          <w:b/>
          <w:color w:val="000000" w:themeColor="text1"/>
          <w:szCs w:val="24"/>
          <w:u w:val="none"/>
        </w:rPr>
        <w:t>The use of sensitive intelligence</w:t>
      </w:r>
      <w:r w:rsidR="00E30DDE" w:rsidRPr="00204EFC">
        <w:rPr>
          <w:rStyle w:val="Hyperlink"/>
          <w:rFonts w:cs="Arial"/>
          <w:b/>
          <w:color w:val="000000" w:themeColor="text1"/>
          <w:szCs w:val="24"/>
          <w:u w:val="none"/>
        </w:rPr>
        <w:t xml:space="preserve"> in </w:t>
      </w:r>
      <w:r w:rsidR="0040598E" w:rsidRPr="00204EFC">
        <w:rPr>
          <w:rStyle w:val="Hyperlink"/>
          <w:rFonts w:cs="Arial"/>
          <w:b/>
          <w:color w:val="000000" w:themeColor="text1"/>
          <w:szCs w:val="24"/>
          <w:u w:val="none"/>
        </w:rPr>
        <w:t>legal proceedings</w:t>
      </w:r>
    </w:p>
    <w:p w14:paraId="211F571F" w14:textId="21B616ED" w:rsidR="00EA47C7" w:rsidRPr="00204EFC" w:rsidRDefault="00E35DF0" w:rsidP="00047E38">
      <w:pPr>
        <w:pStyle w:val="PlainText"/>
        <w:rPr>
          <w:rFonts w:cs="Arial"/>
          <w:b/>
          <w:szCs w:val="24"/>
        </w:rPr>
      </w:pPr>
      <w:r w:rsidRPr="00204EFC">
        <w:rPr>
          <w:rFonts w:cs="Arial"/>
          <w:szCs w:val="24"/>
        </w:rPr>
        <w:t>In a very small number of cases involving radicalisation, including where there is an intention to travel to a conflict zone, the police may be in possession of relevant sensitive intelligence. The police have guidance for the assessment, management and, if relevant, sharing of such intelligence with the courts in order to allow the presiding judge to make an informed decision. Where civil proceedings are a factor within safeguarding/risk management plans, guidance is available to local authorities, partners and their legal representatives in ‘Radicalisation Cases in the Family Court’</w:t>
      </w:r>
      <w:r w:rsidR="00204EFC">
        <w:rPr>
          <w:rFonts w:cs="Arial"/>
          <w:szCs w:val="24"/>
        </w:rPr>
        <w:t xml:space="preserve"> </w:t>
      </w:r>
      <w:r w:rsidRPr="00527E44">
        <w:rPr>
          <w:rFonts w:cs="Arial"/>
          <w:szCs w:val="24"/>
        </w:rPr>
        <w:t>(</w:t>
      </w:r>
      <w:hyperlink r:id="rId13" w:history="1">
        <w:r w:rsidR="00204EFC" w:rsidRPr="00527E44">
          <w:rPr>
            <w:rStyle w:val="Hyperlink"/>
            <w:rFonts w:cs="Arial"/>
            <w:szCs w:val="24"/>
          </w:rPr>
          <w:t>https://www.judiciary.gov.uk/wp-content/uploads/2015/10/pfd-guidance-radicalisation-cases.pdf</w:t>
        </w:r>
      </w:hyperlink>
      <w:r w:rsidR="00527E44">
        <w:rPr>
          <w:rFonts w:cs="Arial"/>
          <w:szCs w:val="24"/>
        </w:rPr>
        <w:t>)</w:t>
      </w:r>
    </w:p>
    <w:p w14:paraId="638AEF66" w14:textId="77777777" w:rsidR="00204EFC" w:rsidRDefault="00204EFC" w:rsidP="00047E38">
      <w:pPr>
        <w:pStyle w:val="PlainText"/>
        <w:rPr>
          <w:rFonts w:cs="Arial"/>
          <w:b/>
          <w:szCs w:val="24"/>
        </w:rPr>
      </w:pPr>
    </w:p>
    <w:p w14:paraId="270DA9AC" w14:textId="77777777" w:rsidR="00424938" w:rsidRDefault="00424938" w:rsidP="00047E38">
      <w:pPr>
        <w:pStyle w:val="PlainText"/>
        <w:rPr>
          <w:rFonts w:cs="Arial"/>
          <w:b/>
          <w:szCs w:val="24"/>
        </w:rPr>
      </w:pPr>
    </w:p>
    <w:p w14:paraId="5232F045" w14:textId="5C1A88EA" w:rsidR="00424938" w:rsidRPr="003622B0" w:rsidRDefault="00424938" w:rsidP="00047E38">
      <w:pPr>
        <w:pStyle w:val="PlainText"/>
        <w:rPr>
          <w:rFonts w:cs="Arial"/>
          <w:szCs w:val="24"/>
        </w:rPr>
      </w:pPr>
      <w:r>
        <w:rPr>
          <w:rFonts w:cs="Arial"/>
          <w:szCs w:val="24"/>
        </w:rPr>
        <w:t>Department for Education</w:t>
      </w:r>
    </w:p>
    <w:p w14:paraId="757FD1B0" w14:textId="439C3E9B" w:rsidR="00424938" w:rsidRPr="003622B0" w:rsidRDefault="00424938" w:rsidP="00047E38">
      <w:pPr>
        <w:pStyle w:val="PlainText"/>
        <w:rPr>
          <w:rFonts w:cs="Arial"/>
          <w:szCs w:val="24"/>
        </w:rPr>
      </w:pPr>
      <w:r>
        <w:rPr>
          <w:rFonts w:cs="Arial"/>
          <w:szCs w:val="24"/>
        </w:rPr>
        <w:t>13 November 2015</w:t>
      </w:r>
    </w:p>
    <w:p w14:paraId="73B344F0" w14:textId="73E26645" w:rsidR="00E201AF" w:rsidRDefault="00E201AF">
      <w:pPr>
        <w:spacing w:after="0" w:line="240" w:lineRule="auto"/>
        <w:rPr>
          <w:rFonts w:cs="Arial"/>
          <w:b/>
          <w:sz w:val="24"/>
          <w:lang w:eastAsia="en-GB"/>
        </w:rPr>
      </w:pPr>
      <w:r>
        <w:rPr>
          <w:rFonts w:cs="Arial"/>
          <w:b/>
          <w:sz w:val="24"/>
          <w:lang w:eastAsia="en-GB"/>
        </w:rPr>
        <w:br w:type="page"/>
      </w:r>
    </w:p>
    <w:p w14:paraId="4F7A5190" w14:textId="77777777" w:rsidR="00181C15" w:rsidRDefault="00181C15" w:rsidP="00CC3839">
      <w:pPr>
        <w:spacing w:after="240" w:line="240" w:lineRule="auto"/>
        <w:rPr>
          <w:rFonts w:cs="Arial"/>
          <w:b/>
          <w:sz w:val="24"/>
          <w:lang w:eastAsia="en-GB"/>
        </w:rPr>
      </w:pPr>
    </w:p>
    <w:p w14:paraId="79ADB2F8" w14:textId="07EE4C15" w:rsidR="00181C15" w:rsidRPr="00181C15" w:rsidRDefault="00181C15" w:rsidP="00CC3839">
      <w:pPr>
        <w:spacing w:after="240" w:line="240" w:lineRule="auto"/>
        <w:rPr>
          <w:rFonts w:cs="Arial"/>
          <w:b/>
          <w:sz w:val="24"/>
          <w:lang w:eastAsia="en-GB"/>
        </w:rPr>
      </w:pPr>
      <w:r w:rsidRPr="00181C15">
        <w:rPr>
          <w:rFonts w:cs="Arial"/>
          <w:b/>
          <w:sz w:val="24"/>
          <w:lang w:eastAsia="en-GB"/>
        </w:rPr>
        <w:t>E</w:t>
      </w:r>
      <w:r w:rsidR="00D3648A">
        <w:rPr>
          <w:rFonts w:cs="Arial"/>
          <w:b/>
          <w:sz w:val="24"/>
          <w:lang w:eastAsia="en-GB"/>
        </w:rPr>
        <w:t>xamples</w:t>
      </w:r>
      <w:r w:rsidRPr="00181C15">
        <w:rPr>
          <w:rFonts w:cs="Arial"/>
          <w:b/>
          <w:sz w:val="24"/>
          <w:lang w:eastAsia="en-GB"/>
        </w:rPr>
        <w:t xml:space="preserve"> </w:t>
      </w:r>
      <w:r w:rsidR="00D3648A">
        <w:rPr>
          <w:rFonts w:cs="Arial"/>
          <w:b/>
          <w:sz w:val="24"/>
          <w:lang w:eastAsia="en-GB"/>
        </w:rPr>
        <w:t>of</w:t>
      </w:r>
      <w:r w:rsidRPr="00181C15">
        <w:rPr>
          <w:rFonts w:cs="Arial"/>
          <w:b/>
          <w:sz w:val="24"/>
          <w:lang w:eastAsia="en-GB"/>
        </w:rPr>
        <w:t xml:space="preserve"> </w:t>
      </w:r>
      <w:r w:rsidR="00D3648A">
        <w:rPr>
          <w:rFonts w:cs="Arial"/>
          <w:b/>
          <w:sz w:val="24"/>
          <w:lang w:eastAsia="en-GB"/>
        </w:rPr>
        <w:t>relevant</w:t>
      </w:r>
      <w:r w:rsidR="00D3648A" w:rsidRPr="00181C15">
        <w:rPr>
          <w:rFonts w:cs="Arial"/>
          <w:b/>
          <w:sz w:val="24"/>
          <w:lang w:eastAsia="en-GB"/>
        </w:rPr>
        <w:t xml:space="preserve"> </w:t>
      </w:r>
      <w:r w:rsidR="00D3648A">
        <w:rPr>
          <w:rFonts w:cs="Arial"/>
          <w:b/>
          <w:sz w:val="24"/>
          <w:lang w:eastAsia="en-GB"/>
        </w:rPr>
        <w:t>cases</w:t>
      </w:r>
    </w:p>
    <w:p w14:paraId="17B7CFF4" w14:textId="77777777" w:rsidR="00181C15" w:rsidRPr="00181C15" w:rsidRDefault="00181C15" w:rsidP="00CC3839">
      <w:pPr>
        <w:spacing w:after="120" w:line="240" w:lineRule="auto"/>
        <w:rPr>
          <w:rFonts w:cs="Arial"/>
          <w:i/>
          <w:sz w:val="24"/>
          <w:lang w:eastAsia="en-GB"/>
        </w:rPr>
      </w:pPr>
      <w:r w:rsidRPr="00181C15">
        <w:rPr>
          <w:rFonts w:cs="Arial"/>
          <w:i/>
          <w:sz w:val="24"/>
          <w:lang w:eastAsia="en-GB"/>
        </w:rPr>
        <w:t xml:space="preserve">The London Borough of Tower Hamlets and M &amp; Others [2015] EWHC 869 (Fam) </w:t>
      </w:r>
      <w:hyperlink r:id="rId14" w:history="1">
        <w:r w:rsidRPr="00181C15">
          <w:rPr>
            <w:rFonts w:cs="Arial"/>
            <w:i/>
            <w:color w:val="0000FF" w:themeColor="hyperlink"/>
            <w:sz w:val="24"/>
            <w:u w:val="single"/>
            <w:lang w:eastAsia="en-GB"/>
          </w:rPr>
          <w:t>https://www.judiciary.gov.uk/judgments/between-the-london-borough-of-tower-hamlets-and-m-and-others/</w:t>
        </w:r>
      </w:hyperlink>
    </w:p>
    <w:p w14:paraId="01B180DC" w14:textId="26CA1C95" w:rsidR="00181C15" w:rsidRPr="00181C15" w:rsidRDefault="00181C15" w:rsidP="00CC3839">
      <w:pPr>
        <w:spacing w:after="360" w:line="240" w:lineRule="auto"/>
        <w:rPr>
          <w:rFonts w:cs="Arial"/>
          <w:sz w:val="24"/>
          <w:lang w:eastAsia="en-GB"/>
        </w:rPr>
      </w:pPr>
      <w:r w:rsidRPr="00181C15">
        <w:rPr>
          <w:rFonts w:cs="Arial"/>
          <w:sz w:val="24"/>
          <w:lang w:eastAsia="en-GB"/>
        </w:rPr>
        <w:t>In these cases, the local authority was of the view that the families of the children involved were unlikely to adequately protect the children by preventing them from leaving the UK. The court was satisfied that each of the children “was at risk […] of significant harm in the sense contemplated by section 31(ii) [sic.] of the Children Act 1989.” [paragraph 3]  While noting that “the type of harm I have been asked to evaluate is a different facet of vulnerability for children than that which the courts have had to deal with in the past” [paragraph 57], the judgement concluded “What, however, is clear is that the conventional safeguarding principles will still afford the best protection. Once again, this court finds it necessary to reiterate that only open dialogue, appropriate sharing of information, mutual respect for the differing roles involved and inter agency cooperation is going to provide the kind of protection that I am satisfied that the children subject to these applications truly require.” [paragraph 58]</w:t>
      </w:r>
    </w:p>
    <w:p w14:paraId="11A93AC3" w14:textId="77777777" w:rsidR="00181C15" w:rsidRPr="00181C15" w:rsidRDefault="00181C15" w:rsidP="00CC3839">
      <w:pPr>
        <w:spacing w:after="120" w:line="240" w:lineRule="auto"/>
        <w:rPr>
          <w:rFonts w:cs="Arial"/>
          <w:i/>
          <w:sz w:val="24"/>
          <w:lang w:eastAsia="en-GB"/>
        </w:rPr>
      </w:pPr>
      <w:r w:rsidRPr="00181C15">
        <w:rPr>
          <w:rFonts w:cs="Arial"/>
          <w:i/>
          <w:sz w:val="24"/>
          <w:lang w:eastAsia="en-GB"/>
        </w:rPr>
        <w:lastRenderedPageBreak/>
        <w:t xml:space="preserve">Brighton &amp; Hove City Council v Mother, Father and Y (A Minor) [2015] EWHC 2098 (Fam) and [2015] EWHC 2099 (Fam) </w:t>
      </w:r>
      <w:hyperlink r:id="rId15" w:history="1">
        <w:r w:rsidRPr="00181C15">
          <w:rPr>
            <w:rFonts w:cs="Arial"/>
            <w:i/>
            <w:color w:val="0000FF" w:themeColor="hyperlink"/>
            <w:sz w:val="24"/>
            <w:u w:val="single"/>
            <w:lang w:eastAsia="en-GB"/>
          </w:rPr>
          <w:t>http://www.familylawweek.co.uk/site.aspx?i=ed145920</w:t>
        </w:r>
      </w:hyperlink>
    </w:p>
    <w:p w14:paraId="243FFF38" w14:textId="77777777" w:rsidR="00181C15" w:rsidRPr="00181C15" w:rsidRDefault="00181C15" w:rsidP="00CC3839">
      <w:pPr>
        <w:spacing w:after="120" w:line="240" w:lineRule="auto"/>
        <w:rPr>
          <w:rFonts w:cs="Arial"/>
          <w:sz w:val="24"/>
          <w:lang w:eastAsia="en-GB"/>
        </w:rPr>
      </w:pPr>
      <w:r w:rsidRPr="00181C15">
        <w:rPr>
          <w:rFonts w:cs="Arial"/>
          <w:sz w:val="24"/>
          <w:lang w:eastAsia="en-GB"/>
        </w:rPr>
        <w:t>The court considered that due to Y’s personal history (both brothers and a friend had been killed fighting in Syria and his uncle had been held at Guantanamo Bay), he was “extremely vulnerable… to radicalisation.”  [paragraph 10]</w:t>
      </w:r>
    </w:p>
    <w:p w14:paraId="462ED08C" w14:textId="32B74F7B" w:rsidR="00181C15" w:rsidRPr="00181C15" w:rsidRDefault="00181C15" w:rsidP="00CC3839">
      <w:pPr>
        <w:spacing w:after="120" w:line="240" w:lineRule="auto"/>
        <w:rPr>
          <w:rFonts w:cs="Arial"/>
          <w:sz w:val="24"/>
          <w:lang w:eastAsia="en-GB"/>
        </w:rPr>
      </w:pPr>
      <w:r w:rsidRPr="00181C15">
        <w:rPr>
          <w:rFonts w:cs="Arial"/>
          <w:sz w:val="24"/>
          <w:lang w:eastAsia="en-GB"/>
        </w:rPr>
        <w:t>Given the age of Y, the local authority considered that it was more appropriate for Y to be made a ward of court than to rely upon the limited scope of care orders in relation to 16 year olds. In addition, it appears there was no intention to remove Y from the care of his mother. The court concluded that the use of the wardship jurisdiction is “ideally fitted to the very specific nature of the risk contemplated.” [paragraph 13]</w:t>
      </w:r>
    </w:p>
    <w:p w14:paraId="0D037676" w14:textId="77777777" w:rsidR="00181C15" w:rsidRPr="00181C15" w:rsidRDefault="00181C15" w:rsidP="00CC3839">
      <w:pPr>
        <w:spacing w:after="360" w:line="240" w:lineRule="auto"/>
        <w:rPr>
          <w:rFonts w:cs="Arial"/>
          <w:sz w:val="24"/>
          <w:lang w:eastAsia="en-GB"/>
        </w:rPr>
      </w:pPr>
      <w:r w:rsidRPr="00181C15">
        <w:rPr>
          <w:rFonts w:cs="Arial"/>
          <w:sz w:val="24"/>
          <w:lang w:eastAsia="en-GB"/>
        </w:rPr>
        <w:t>In addition, the court concluded that “when balancing the competing rights and interests required under the Human Rights Act, to my mind the balance falls down clearly in protecting this young man, ultimately from himself.” [paragraph 13]</w:t>
      </w:r>
    </w:p>
    <w:p w14:paraId="36D637CE" w14:textId="77777777" w:rsidR="00E201AF" w:rsidRDefault="00E201AF">
      <w:pPr>
        <w:spacing w:after="0" w:line="240" w:lineRule="auto"/>
        <w:rPr>
          <w:rFonts w:cs="Arial"/>
          <w:i/>
          <w:sz w:val="24"/>
          <w:lang w:eastAsia="en-GB"/>
        </w:rPr>
      </w:pPr>
      <w:r>
        <w:rPr>
          <w:rFonts w:cs="Arial"/>
          <w:i/>
          <w:sz w:val="24"/>
          <w:lang w:eastAsia="en-GB"/>
        </w:rPr>
        <w:br w:type="page"/>
      </w:r>
    </w:p>
    <w:p w14:paraId="58E43A0C" w14:textId="2297DBC1" w:rsidR="00181C15" w:rsidRPr="00181C15" w:rsidRDefault="00181C15" w:rsidP="00CC3839">
      <w:pPr>
        <w:spacing w:after="200" w:line="240" w:lineRule="auto"/>
        <w:rPr>
          <w:rFonts w:cs="Arial"/>
          <w:i/>
          <w:sz w:val="24"/>
          <w:lang w:eastAsia="en-GB"/>
        </w:rPr>
      </w:pPr>
      <w:r w:rsidRPr="00181C15">
        <w:rPr>
          <w:rFonts w:cs="Arial"/>
          <w:i/>
          <w:sz w:val="24"/>
          <w:lang w:eastAsia="en-GB"/>
        </w:rPr>
        <w:lastRenderedPageBreak/>
        <w:t xml:space="preserve">In the matter of M (Children) [2015] EWHC 1433 (Fam) </w:t>
      </w:r>
      <w:hyperlink r:id="rId16" w:history="1">
        <w:r w:rsidRPr="00181C15">
          <w:rPr>
            <w:rFonts w:cs="Arial"/>
            <w:i/>
            <w:color w:val="0000FF" w:themeColor="hyperlink"/>
            <w:sz w:val="24"/>
            <w:u w:val="single"/>
            <w:lang w:eastAsia="en-GB"/>
          </w:rPr>
          <w:t>https://www.judiciary.gov.uk/judgments/in-the-matter-of-m-children-wardship-jurisdiction-and-use-of-super-injunctions/</w:t>
        </w:r>
      </w:hyperlink>
    </w:p>
    <w:p w14:paraId="4693CC81" w14:textId="09D53871" w:rsidR="00181C15" w:rsidRPr="00181C15" w:rsidRDefault="00181C15" w:rsidP="00CC3839">
      <w:pPr>
        <w:spacing w:after="360" w:line="240" w:lineRule="auto"/>
        <w:rPr>
          <w:rFonts w:cs="Arial"/>
          <w:sz w:val="24"/>
          <w:lang w:eastAsia="en-GB"/>
        </w:rPr>
      </w:pPr>
      <w:r w:rsidRPr="00181C15">
        <w:rPr>
          <w:rFonts w:cs="Arial"/>
          <w:sz w:val="24"/>
          <w:lang w:eastAsia="en-GB"/>
        </w:rPr>
        <w:t xml:space="preserve">The court’s inherent jurisdiction was used to facilitate the return of a family of </w:t>
      </w:r>
      <w:r w:rsidR="00527E44">
        <w:rPr>
          <w:rFonts w:cs="Arial"/>
          <w:sz w:val="24"/>
          <w:lang w:eastAsia="en-GB"/>
        </w:rPr>
        <w:t>four</w:t>
      </w:r>
      <w:r w:rsidRPr="00181C15">
        <w:rPr>
          <w:rFonts w:cs="Arial"/>
          <w:sz w:val="24"/>
          <w:lang w:eastAsia="en-GB"/>
        </w:rPr>
        <w:t xml:space="preserve"> children (who were believed to be travelling with their parents on to Syria) from Turkey via Moldova. This included an order that the children be made wards of the court and that the parents surrender the passports of the children to social workers who had specifically travelled out to assess the children. The application for the order was made </w:t>
      </w:r>
      <w:r w:rsidRPr="00A35D4C">
        <w:rPr>
          <w:rFonts w:cs="Arial"/>
          <w:i/>
          <w:sz w:val="24"/>
          <w:lang w:eastAsia="en-GB"/>
        </w:rPr>
        <w:t>ex partes</w:t>
      </w:r>
      <w:r w:rsidRPr="00181C15">
        <w:rPr>
          <w:rFonts w:cs="Arial"/>
          <w:sz w:val="24"/>
          <w:lang w:eastAsia="en-GB"/>
        </w:rPr>
        <w:t xml:space="preserve"> and a reporting restriction was made in relation to the case so as not to alert the parents to the fact of the order being made (for fear of flight by the parents).</w:t>
      </w:r>
    </w:p>
    <w:p w14:paraId="2F194B27" w14:textId="77777777" w:rsidR="00181C15" w:rsidRPr="00181C15" w:rsidRDefault="00181C15" w:rsidP="00CC3839">
      <w:pPr>
        <w:spacing w:after="120" w:line="240" w:lineRule="auto"/>
        <w:rPr>
          <w:rFonts w:cs="Arial"/>
          <w:i/>
          <w:sz w:val="24"/>
          <w:lang w:eastAsia="en-GB"/>
        </w:rPr>
      </w:pPr>
      <w:r w:rsidRPr="00181C15">
        <w:rPr>
          <w:rFonts w:cs="Arial"/>
          <w:i/>
          <w:sz w:val="24"/>
          <w:lang w:eastAsia="en-GB"/>
        </w:rPr>
        <w:t xml:space="preserve">In the matter of X and Y [2015] EWHC 2265 (Fam) </w:t>
      </w:r>
      <w:hyperlink r:id="rId17" w:history="1">
        <w:r w:rsidRPr="00181C15">
          <w:rPr>
            <w:rFonts w:cs="Arial"/>
            <w:i/>
            <w:color w:val="0000FF" w:themeColor="hyperlink"/>
            <w:sz w:val="24"/>
            <w:u w:val="single"/>
            <w:lang w:eastAsia="en-GB"/>
          </w:rPr>
          <w:t>https://www.judiciary.gov.uk/wp-content/uploads/2015/08/re-x-and-y-no2.pdf</w:t>
        </w:r>
      </w:hyperlink>
    </w:p>
    <w:p w14:paraId="7864EC49" w14:textId="440591FC" w:rsidR="00181C15" w:rsidRPr="00181C15" w:rsidRDefault="00181C15" w:rsidP="00CC3839">
      <w:pPr>
        <w:spacing w:after="120" w:line="240" w:lineRule="auto"/>
        <w:rPr>
          <w:rFonts w:cs="Arial"/>
          <w:sz w:val="24"/>
          <w:lang w:eastAsia="en-GB"/>
        </w:rPr>
      </w:pPr>
      <w:r w:rsidRPr="00181C15">
        <w:rPr>
          <w:rFonts w:cs="Arial"/>
          <w:sz w:val="24"/>
          <w:lang w:eastAsia="en-GB"/>
        </w:rPr>
        <w:t xml:space="preserve">Despite interim care orders having previously been made in respect of the </w:t>
      </w:r>
      <w:r w:rsidR="00527E44">
        <w:rPr>
          <w:rFonts w:cs="Arial"/>
          <w:sz w:val="24"/>
          <w:lang w:eastAsia="en-GB"/>
        </w:rPr>
        <w:t>two</w:t>
      </w:r>
      <w:r w:rsidRPr="00181C15">
        <w:rPr>
          <w:rFonts w:cs="Arial"/>
          <w:sz w:val="24"/>
          <w:lang w:eastAsia="en-GB"/>
        </w:rPr>
        <w:t xml:space="preserve"> families following attempts by the parents to remove the children to Syria, the court used innovative measures (the use of GPS tagging), as well as measures often used in cases of international abduction </w:t>
      </w:r>
      <w:r w:rsidRPr="00181C15">
        <w:rPr>
          <w:rFonts w:cs="Arial"/>
          <w:sz w:val="24"/>
          <w:lang w:eastAsia="en-GB"/>
        </w:rPr>
        <w:lastRenderedPageBreak/>
        <w:t xml:space="preserve">(removal of passports, etc.) under the inherent jurisdiction to return the children to the care of their parents.  </w:t>
      </w:r>
    </w:p>
    <w:p w14:paraId="52C9938C" w14:textId="77777777" w:rsidR="00181C15" w:rsidRPr="00181C15" w:rsidRDefault="00181C15" w:rsidP="00CC3839">
      <w:pPr>
        <w:spacing w:after="360" w:line="240" w:lineRule="auto"/>
        <w:rPr>
          <w:rFonts w:cs="Arial"/>
          <w:sz w:val="24"/>
          <w:lang w:eastAsia="en-GB"/>
        </w:rPr>
      </w:pPr>
      <w:r w:rsidRPr="00181C15">
        <w:rPr>
          <w:rFonts w:cs="Arial"/>
          <w:sz w:val="24"/>
          <w:lang w:eastAsia="en-GB"/>
        </w:rPr>
        <w:t xml:space="preserve">In these joined cases, the primary focus was on the risk of significant harm to the children should they travel to Syria, rather than the question of whether the children had been radicalised.  </w:t>
      </w:r>
    </w:p>
    <w:p w14:paraId="1A2E3269" w14:textId="77777777" w:rsidR="00181C15" w:rsidRPr="00181C15" w:rsidRDefault="00181C15" w:rsidP="00CC3839">
      <w:pPr>
        <w:spacing w:after="120" w:line="240" w:lineRule="auto"/>
        <w:rPr>
          <w:rFonts w:cs="Arial"/>
          <w:sz w:val="24"/>
          <w:lang w:eastAsia="en-GB"/>
        </w:rPr>
      </w:pPr>
      <w:r w:rsidRPr="00181C15">
        <w:rPr>
          <w:rFonts w:cs="Arial"/>
          <w:i/>
          <w:sz w:val="24"/>
          <w:lang w:eastAsia="en-GB"/>
        </w:rPr>
        <w:t xml:space="preserve">The London Borough of Tower Hamlets and B </w:t>
      </w:r>
      <w:hyperlink r:id="rId18" w:history="1">
        <w:r w:rsidRPr="00181C15">
          <w:rPr>
            <w:rFonts w:cs="Arial"/>
            <w:color w:val="0000FF" w:themeColor="hyperlink"/>
            <w:sz w:val="24"/>
            <w:u w:val="single"/>
            <w:lang w:eastAsia="en-GB"/>
          </w:rPr>
          <w:t>https://www.judiciary.gov.uk/judgments/london-borough-of-tower-hamlets-v-b/</w:t>
        </w:r>
      </w:hyperlink>
    </w:p>
    <w:p w14:paraId="7950A3BB" w14:textId="663ABDAA" w:rsidR="00181C15" w:rsidRPr="00181C15" w:rsidRDefault="00181C15" w:rsidP="00CC3839">
      <w:pPr>
        <w:spacing w:after="120" w:line="240" w:lineRule="auto"/>
        <w:rPr>
          <w:rFonts w:cs="Arial"/>
          <w:sz w:val="24"/>
          <w:lang w:eastAsia="en-GB"/>
        </w:rPr>
      </w:pPr>
      <w:r w:rsidRPr="00181C15">
        <w:rPr>
          <w:rFonts w:cs="Arial"/>
          <w:sz w:val="24"/>
          <w:lang w:eastAsia="en-GB"/>
        </w:rPr>
        <w:t>B, a sixteen year-old girl, had already been made a ward of court on application from the local authority having attempted to travel to Syria. B was made the subject of a Child in Need plan, predicated on the local authority’s evaluation of the parents’ positive potential to safeguard her themselves.</w:t>
      </w:r>
    </w:p>
    <w:p w14:paraId="25A648FA" w14:textId="768AFD6B" w:rsidR="00181C15" w:rsidRPr="00181C15" w:rsidRDefault="00181C15" w:rsidP="00CC3839">
      <w:pPr>
        <w:spacing w:after="120" w:line="240" w:lineRule="auto"/>
        <w:rPr>
          <w:rFonts w:cs="Arial"/>
          <w:sz w:val="24"/>
          <w:lang w:eastAsia="en-GB"/>
        </w:rPr>
      </w:pPr>
      <w:r w:rsidRPr="00181C15">
        <w:rPr>
          <w:rFonts w:cs="Arial"/>
          <w:sz w:val="24"/>
          <w:lang w:eastAsia="en-GB"/>
        </w:rPr>
        <w:t>Following a search of the family’s home, radicalising material was found on devices belonging to B, her siblings and her parents. The local authority sought the removal of B and her siblings from their parents.</w:t>
      </w:r>
    </w:p>
    <w:p w14:paraId="774A6506" w14:textId="1C535E90" w:rsidR="00181C15" w:rsidRPr="00181C15" w:rsidRDefault="00181C15" w:rsidP="00CC3839">
      <w:pPr>
        <w:spacing w:after="120" w:line="240" w:lineRule="auto"/>
        <w:rPr>
          <w:rFonts w:cs="Arial"/>
          <w:sz w:val="24"/>
          <w:lang w:eastAsia="en-GB"/>
        </w:rPr>
      </w:pPr>
      <w:r w:rsidRPr="00181C15">
        <w:rPr>
          <w:rFonts w:cs="Arial"/>
          <w:sz w:val="24"/>
          <w:lang w:eastAsia="en-GB"/>
        </w:rPr>
        <w:t xml:space="preserve">In this case, the court concluded that B “has been subjected to serious emotional harm, and, at the very least, continues to be at risk of such in her parent’s [sic] care. I </w:t>
      </w:r>
      <w:r w:rsidRPr="00181C15">
        <w:rPr>
          <w:rFonts w:cs="Arial"/>
          <w:sz w:val="24"/>
          <w:lang w:eastAsia="en-GB"/>
        </w:rPr>
        <w:lastRenderedPageBreak/>
        <w:t>can see no way in which her psychological, emotional and intellectual integrity can be protected by her remaining in this household.” [paragraph 28]</w:t>
      </w:r>
    </w:p>
    <w:p w14:paraId="7C129EF2" w14:textId="23D65F01" w:rsidR="00181C15" w:rsidRPr="00181C15" w:rsidRDefault="00181C15" w:rsidP="00CC3839">
      <w:pPr>
        <w:spacing w:after="200" w:line="240" w:lineRule="auto"/>
        <w:rPr>
          <w:rFonts w:cs="Arial"/>
          <w:sz w:val="24"/>
          <w:lang w:eastAsia="en-GB"/>
        </w:rPr>
      </w:pPr>
      <w:r w:rsidRPr="00181C15">
        <w:rPr>
          <w:rFonts w:cs="Arial"/>
          <w:sz w:val="24"/>
          <w:lang w:eastAsia="en-GB"/>
        </w:rPr>
        <w:t>The court compared the harm suffered by B to the effects of sexual abuse: “The violation contemplated here is not to the body but it is to the mind. It is every bit as insidious, and I do not say that lightly. It involves harm of similar magnitude and complexion.” [paragraph 29]</w:t>
      </w:r>
    </w:p>
    <w:p w14:paraId="3715F377" w14:textId="77777777" w:rsidR="00181C15" w:rsidRDefault="00181C15" w:rsidP="00CC3839">
      <w:pPr>
        <w:pStyle w:val="PlainText"/>
        <w:rPr>
          <w:rFonts w:cs="Arial"/>
          <w:b/>
          <w:szCs w:val="24"/>
        </w:rPr>
      </w:pPr>
    </w:p>
    <w:p w14:paraId="5E8EF6F3" w14:textId="77777777" w:rsidR="00204EFC" w:rsidRPr="00204EFC" w:rsidRDefault="00204EFC" w:rsidP="00CC3839">
      <w:pPr>
        <w:pStyle w:val="PlainText"/>
        <w:rPr>
          <w:rFonts w:cs="Arial"/>
          <w:szCs w:val="24"/>
        </w:rPr>
      </w:pPr>
    </w:p>
    <w:sectPr w:rsidR="00204EFC" w:rsidRPr="00204EFC" w:rsidSect="0075670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B2430" w14:textId="77777777" w:rsidR="00B72841" w:rsidRDefault="00B72841" w:rsidP="00B72841">
      <w:pPr>
        <w:spacing w:after="0" w:line="240" w:lineRule="auto"/>
      </w:pPr>
      <w:r>
        <w:separator/>
      </w:r>
    </w:p>
  </w:endnote>
  <w:endnote w:type="continuationSeparator" w:id="0">
    <w:p w14:paraId="521EE76A" w14:textId="77777777" w:rsidR="00B72841" w:rsidRDefault="00B72841" w:rsidP="00B7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066987"/>
      <w:docPartObj>
        <w:docPartGallery w:val="Page Numbers (Bottom of Page)"/>
        <w:docPartUnique/>
      </w:docPartObj>
    </w:sdtPr>
    <w:sdtEndPr>
      <w:rPr>
        <w:noProof/>
      </w:rPr>
    </w:sdtEndPr>
    <w:sdtContent>
      <w:p w14:paraId="49333D69" w14:textId="01E58782" w:rsidR="009A0FE7" w:rsidRDefault="009A0FE7">
        <w:pPr>
          <w:pStyle w:val="Footer"/>
          <w:jc w:val="center"/>
        </w:pPr>
        <w:r>
          <w:fldChar w:fldCharType="begin"/>
        </w:r>
        <w:r>
          <w:instrText xml:space="preserve"> PAGE   \* MERGEFORMAT </w:instrText>
        </w:r>
        <w:r>
          <w:fldChar w:fldCharType="separate"/>
        </w:r>
        <w:r w:rsidR="008F5088">
          <w:rPr>
            <w:noProof/>
          </w:rPr>
          <w:t>1</w:t>
        </w:r>
        <w:r>
          <w:rPr>
            <w:noProof/>
          </w:rPr>
          <w:fldChar w:fldCharType="end"/>
        </w:r>
      </w:p>
    </w:sdtContent>
  </w:sdt>
  <w:p w14:paraId="0CE9CE19" w14:textId="77777777" w:rsidR="00B72841" w:rsidRDefault="00B72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7D999" w14:textId="77777777" w:rsidR="00B72841" w:rsidRDefault="00B72841" w:rsidP="00B72841">
      <w:pPr>
        <w:spacing w:after="0" w:line="240" w:lineRule="auto"/>
      </w:pPr>
      <w:r>
        <w:separator/>
      </w:r>
    </w:p>
  </w:footnote>
  <w:footnote w:type="continuationSeparator" w:id="0">
    <w:p w14:paraId="6FA2CE04" w14:textId="77777777" w:rsidR="00B72841" w:rsidRDefault="00B72841" w:rsidP="00B72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3B38"/>
    <w:multiLevelType w:val="hybridMultilevel"/>
    <w:tmpl w:val="DDE8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57A9"/>
    <w:multiLevelType w:val="hybridMultilevel"/>
    <w:tmpl w:val="8FD8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EB25B93"/>
    <w:multiLevelType w:val="hybridMultilevel"/>
    <w:tmpl w:val="C5D61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A257F"/>
    <w:multiLevelType w:val="hybridMultilevel"/>
    <w:tmpl w:val="6F52FAC2"/>
    <w:lvl w:ilvl="0" w:tplc="6CD45D98">
      <w:start w:val="1"/>
      <w:numFmt w:val="bullet"/>
      <w:pStyle w:val="Dep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A506C"/>
    <w:multiLevelType w:val="multilevel"/>
    <w:tmpl w:val="5004FF7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65D56DD"/>
    <w:multiLevelType w:val="multilevel"/>
    <w:tmpl w:val="6F0A68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79579C6"/>
    <w:multiLevelType w:val="hybridMultilevel"/>
    <w:tmpl w:val="911086EE"/>
    <w:lvl w:ilvl="0" w:tplc="08090001">
      <w:start w:val="1"/>
      <w:numFmt w:val="bullet"/>
      <w:lvlText w:val=""/>
      <w:lvlJc w:val="left"/>
      <w:pPr>
        <w:ind w:left="1146" w:hanging="360"/>
      </w:pPr>
      <w:rPr>
        <w:rFonts w:ascii="Symbol" w:hAnsi="Symbol" w:hint="default"/>
      </w:rPr>
    </w:lvl>
    <w:lvl w:ilvl="1" w:tplc="08090001">
      <w:start w:val="1"/>
      <w:numFmt w:val="bullet"/>
      <w:lvlText w:val=""/>
      <w:lvlJc w:val="left"/>
      <w:pPr>
        <w:ind w:left="1866" w:hanging="360"/>
      </w:pPr>
      <w:rPr>
        <w:rFonts w:ascii="Symbol" w:hAnsi="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FD0BE3"/>
    <w:multiLevelType w:val="hybridMultilevel"/>
    <w:tmpl w:val="8440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551FE4"/>
    <w:multiLevelType w:val="hybridMultilevel"/>
    <w:tmpl w:val="40E4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B3F2B"/>
    <w:multiLevelType w:val="hybridMultilevel"/>
    <w:tmpl w:val="D5E6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6"/>
  </w:num>
  <w:num w:numId="7">
    <w:abstractNumId w:val="8"/>
  </w:num>
  <w:num w:numId="8">
    <w:abstractNumId w:val="3"/>
  </w:num>
  <w:num w:numId="9">
    <w:abstractNumId w:val="10"/>
  </w:num>
  <w:num w:numId="10">
    <w:abstractNumId w:val="4"/>
  </w:num>
  <w:num w:numId="11">
    <w:abstractNumId w:val="11"/>
  </w:num>
  <w:num w:numId="12">
    <w:abstractNumId w:val="0"/>
  </w:num>
  <w:num w:numId="13">
    <w:abstractNumId w:val="9"/>
  </w:num>
  <w:num w:numId="14">
    <w:abstractNumId w:val="6"/>
  </w:num>
  <w:num w:numId="15">
    <w:abstractNumId w:val="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B"/>
    <w:rsid w:val="0002021E"/>
    <w:rsid w:val="0002222F"/>
    <w:rsid w:val="00025A04"/>
    <w:rsid w:val="00033DA6"/>
    <w:rsid w:val="00035A2D"/>
    <w:rsid w:val="0004528C"/>
    <w:rsid w:val="00047E38"/>
    <w:rsid w:val="00051A6D"/>
    <w:rsid w:val="00051AF8"/>
    <w:rsid w:val="00051F91"/>
    <w:rsid w:val="000923C2"/>
    <w:rsid w:val="00093785"/>
    <w:rsid w:val="00095C0C"/>
    <w:rsid w:val="000C2DBC"/>
    <w:rsid w:val="000D3675"/>
    <w:rsid w:val="000D5B21"/>
    <w:rsid w:val="001013F4"/>
    <w:rsid w:val="00105282"/>
    <w:rsid w:val="001754E4"/>
    <w:rsid w:val="00181C15"/>
    <w:rsid w:val="001C5F48"/>
    <w:rsid w:val="001D2A1B"/>
    <w:rsid w:val="00204EFC"/>
    <w:rsid w:val="00212C1C"/>
    <w:rsid w:val="00225B5F"/>
    <w:rsid w:val="00237B56"/>
    <w:rsid w:val="00265E31"/>
    <w:rsid w:val="002771E2"/>
    <w:rsid w:val="002A3CB0"/>
    <w:rsid w:val="00343732"/>
    <w:rsid w:val="00356F0E"/>
    <w:rsid w:val="003622B0"/>
    <w:rsid w:val="003803B4"/>
    <w:rsid w:val="0038472F"/>
    <w:rsid w:val="0040598E"/>
    <w:rsid w:val="00421785"/>
    <w:rsid w:val="004238D4"/>
    <w:rsid w:val="00424938"/>
    <w:rsid w:val="00427F0C"/>
    <w:rsid w:val="004320F3"/>
    <w:rsid w:val="00432829"/>
    <w:rsid w:val="004647EE"/>
    <w:rsid w:val="00475E95"/>
    <w:rsid w:val="004A7B8D"/>
    <w:rsid w:val="004B4B3B"/>
    <w:rsid w:val="004C24BD"/>
    <w:rsid w:val="004C2F6C"/>
    <w:rsid w:val="004C7A53"/>
    <w:rsid w:val="004F0571"/>
    <w:rsid w:val="0050100F"/>
    <w:rsid w:val="0050673D"/>
    <w:rsid w:val="005132B4"/>
    <w:rsid w:val="00516438"/>
    <w:rsid w:val="00527E44"/>
    <w:rsid w:val="0053240C"/>
    <w:rsid w:val="00554252"/>
    <w:rsid w:val="005779A9"/>
    <w:rsid w:val="005A581B"/>
    <w:rsid w:val="005A6594"/>
    <w:rsid w:val="005B1BDC"/>
    <w:rsid w:val="005C4472"/>
    <w:rsid w:val="005D7492"/>
    <w:rsid w:val="005E0495"/>
    <w:rsid w:val="005F6B50"/>
    <w:rsid w:val="00601C43"/>
    <w:rsid w:val="00603F61"/>
    <w:rsid w:val="00631527"/>
    <w:rsid w:val="00670FD9"/>
    <w:rsid w:val="00696CD6"/>
    <w:rsid w:val="006A52B7"/>
    <w:rsid w:val="006C5028"/>
    <w:rsid w:val="006E4C44"/>
    <w:rsid w:val="00711AEF"/>
    <w:rsid w:val="007164F4"/>
    <w:rsid w:val="00745019"/>
    <w:rsid w:val="0075670F"/>
    <w:rsid w:val="0076364C"/>
    <w:rsid w:val="0076602E"/>
    <w:rsid w:val="00784F08"/>
    <w:rsid w:val="00797629"/>
    <w:rsid w:val="007B1379"/>
    <w:rsid w:val="007B1C7E"/>
    <w:rsid w:val="007E4B5D"/>
    <w:rsid w:val="00805C09"/>
    <w:rsid w:val="00811FDE"/>
    <w:rsid w:val="00824215"/>
    <w:rsid w:val="00835643"/>
    <w:rsid w:val="00864404"/>
    <w:rsid w:val="008748C4"/>
    <w:rsid w:val="008E150F"/>
    <w:rsid w:val="008F5088"/>
    <w:rsid w:val="008F61DE"/>
    <w:rsid w:val="0091239A"/>
    <w:rsid w:val="00952168"/>
    <w:rsid w:val="00972F00"/>
    <w:rsid w:val="00993870"/>
    <w:rsid w:val="009A0FE7"/>
    <w:rsid w:val="009B3345"/>
    <w:rsid w:val="009D4DE3"/>
    <w:rsid w:val="009D58EE"/>
    <w:rsid w:val="009E021A"/>
    <w:rsid w:val="009E2FB2"/>
    <w:rsid w:val="009F0F0E"/>
    <w:rsid w:val="009F6101"/>
    <w:rsid w:val="00A02D0C"/>
    <w:rsid w:val="00A20C80"/>
    <w:rsid w:val="00A35D4C"/>
    <w:rsid w:val="00A54B62"/>
    <w:rsid w:val="00A574BE"/>
    <w:rsid w:val="00A80221"/>
    <w:rsid w:val="00A80B33"/>
    <w:rsid w:val="00AA30C0"/>
    <w:rsid w:val="00AA3E13"/>
    <w:rsid w:val="00AC3C27"/>
    <w:rsid w:val="00AC6D2A"/>
    <w:rsid w:val="00AD56F5"/>
    <w:rsid w:val="00B67C5E"/>
    <w:rsid w:val="00B72841"/>
    <w:rsid w:val="00B75467"/>
    <w:rsid w:val="00B76EF9"/>
    <w:rsid w:val="00B96A5E"/>
    <w:rsid w:val="00BB6269"/>
    <w:rsid w:val="00BD648E"/>
    <w:rsid w:val="00BE4EBA"/>
    <w:rsid w:val="00BE5CD7"/>
    <w:rsid w:val="00C1189B"/>
    <w:rsid w:val="00C21050"/>
    <w:rsid w:val="00C21D04"/>
    <w:rsid w:val="00C37831"/>
    <w:rsid w:val="00C4626E"/>
    <w:rsid w:val="00C94002"/>
    <w:rsid w:val="00CB6012"/>
    <w:rsid w:val="00CC281B"/>
    <w:rsid w:val="00CC3839"/>
    <w:rsid w:val="00CD0D74"/>
    <w:rsid w:val="00CF6B68"/>
    <w:rsid w:val="00D35618"/>
    <w:rsid w:val="00D3648A"/>
    <w:rsid w:val="00D64B9C"/>
    <w:rsid w:val="00DA5580"/>
    <w:rsid w:val="00DA69A2"/>
    <w:rsid w:val="00DF2CBF"/>
    <w:rsid w:val="00E04004"/>
    <w:rsid w:val="00E1794F"/>
    <w:rsid w:val="00E201AF"/>
    <w:rsid w:val="00E30DDE"/>
    <w:rsid w:val="00E31C12"/>
    <w:rsid w:val="00E35DF0"/>
    <w:rsid w:val="00E3785D"/>
    <w:rsid w:val="00E70D77"/>
    <w:rsid w:val="00E84551"/>
    <w:rsid w:val="00E92994"/>
    <w:rsid w:val="00E97EB1"/>
    <w:rsid w:val="00EA47C7"/>
    <w:rsid w:val="00EC4807"/>
    <w:rsid w:val="00EF7444"/>
    <w:rsid w:val="00F03C9F"/>
    <w:rsid w:val="00F20FE1"/>
    <w:rsid w:val="00F3331D"/>
    <w:rsid w:val="00F51AEA"/>
    <w:rsid w:val="00F55D1A"/>
    <w:rsid w:val="00F55E30"/>
    <w:rsid w:val="00F9711D"/>
    <w:rsid w:val="00FA2136"/>
    <w:rsid w:val="00FB4F90"/>
    <w:rsid w:val="00FE678A"/>
    <w:rsid w:val="00FF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6EE888"/>
  <w15:docId w15:val="{2AE7B0EB-1E42-4AB5-84D6-2D245A96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3331D"/>
    <w:pPr>
      <w:spacing w:after="160" w:line="288" w:lineRule="auto"/>
    </w:pPr>
    <w:rPr>
      <w:sz w:val="22"/>
      <w:szCs w:val="24"/>
    </w:rPr>
  </w:style>
  <w:style w:type="paragraph" w:styleId="Heading1">
    <w:name w:val="heading 1"/>
    <w:basedOn w:val="Normal"/>
    <w:next w:val="Normal"/>
    <w:link w:val="Heading1Char"/>
    <w:qFormat/>
    <w:rsid w:val="00F3331D"/>
    <w:pPr>
      <w:spacing w:before="360" w:line="240" w:lineRule="auto"/>
      <w:outlineLvl w:val="0"/>
    </w:pPr>
    <w:rPr>
      <w:b/>
      <w:color w:val="104F75"/>
      <w:sz w:val="36"/>
    </w:rPr>
  </w:style>
  <w:style w:type="paragraph" w:styleId="Heading2">
    <w:name w:val="heading 2"/>
    <w:basedOn w:val="Normal"/>
    <w:next w:val="Normal"/>
    <w:link w:val="Heading2Char"/>
    <w:qFormat/>
    <w:rsid w:val="00F3331D"/>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F3331D"/>
    <w:pPr>
      <w:outlineLvl w:val="2"/>
    </w:pPr>
    <w:rPr>
      <w:bCs/>
      <w:sz w:val="28"/>
      <w:szCs w:val="28"/>
    </w:rPr>
  </w:style>
  <w:style w:type="paragraph" w:styleId="Heading4">
    <w:name w:val="heading 4"/>
    <w:basedOn w:val="Heading2"/>
    <w:next w:val="Normal"/>
    <w:link w:val="Heading4Char"/>
    <w:qFormat/>
    <w:rsid w:val="00F3331D"/>
    <w:pPr>
      <w:outlineLvl w:val="3"/>
    </w:pPr>
    <w:rPr>
      <w:bCs/>
      <w:color w:val="000000" w:themeColor="text1"/>
      <w:sz w:val="24"/>
      <w:szCs w:val="28"/>
    </w:rPr>
  </w:style>
  <w:style w:type="paragraph" w:styleId="Heading5">
    <w:name w:val="heading 5"/>
    <w:basedOn w:val="Normal"/>
    <w:next w:val="Normal"/>
    <w:link w:val="Heading5Char"/>
    <w:semiHidden/>
    <w:unhideWhenUsed/>
    <w:qFormat/>
    <w:rsid w:val="00F3331D"/>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3331D"/>
    <w:pPr>
      <w:numPr>
        <w:ilvl w:val="5"/>
        <w:numId w:val="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F3331D"/>
    <w:pPr>
      <w:numPr>
        <w:ilvl w:val="6"/>
        <w:numId w:val="5"/>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F3331D"/>
    <w:pPr>
      <w:numPr>
        <w:ilvl w:val="7"/>
        <w:numId w:val="5"/>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F3331D"/>
    <w:pPr>
      <w:spacing w:before="240" w:after="60"/>
      <w:ind w:left="1584" w:hanging="1584"/>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Box">
    <w:name w:val="EndBox"/>
    <w:basedOn w:val="Normal"/>
    <w:qFormat/>
    <w:rsid w:val="00F3331D"/>
    <w:rPr>
      <w:szCs w:val="20"/>
    </w:rPr>
  </w:style>
  <w:style w:type="paragraph" w:customStyle="1" w:styleId="SubtitleText">
    <w:name w:val="SubtitleText"/>
    <w:basedOn w:val="Normal"/>
    <w:link w:val="SubtitleTextChar"/>
    <w:semiHidden/>
    <w:unhideWhenUsed/>
    <w:qFormat/>
    <w:rsid w:val="00F3331D"/>
    <w:rPr>
      <w:rFonts w:cs="Arial"/>
      <w:b/>
      <w:color w:val="104F75"/>
      <w:sz w:val="48"/>
      <w:szCs w:val="48"/>
    </w:rPr>
  </w:style>
  <w:style w:type="character" w:customStyle="1" w:styleId="SubtitleTextChar">
    <w:name w:val="SubtitleText Char"/>
    <w:link w:val="SubtitleText"/>
    <w:semiHidden/>
    <w:rsid w:val="00F3331D"/>
    <w:rPr>
      <w:rFonts w:cs="Arial"/>
      <w:b/>
      <w:color w:val="104F75"/>
      <w:sz w:val="48"/>
      <w:szCs w:val="48"/>
    </w:rPr>
  </w:style>
  <w:style w:type="paragraph" w:customStyle="1" w:styleId="CopyrightBox">
    <w:name w:val="CopyrightBox"/>
    <w:basedOn w:val="Normal"/>
    <w:link w:val="CopyrightBoxChar"/>
    <w:unhideWhenUsed/>
    <w:qFormat/>
    <w:rsid w:val="00F3331D"/>
    <w:rPr>
      <w:sz w:val="24"/>
    </w:rPr>
  </w:style>
  <w:style w:type="character" w:customStyle="1" w:styleId="CopyrightBoxChar">
    <w:name w:val="CopyrightBox Char"/>
    <w:link w:val="CopyrightBox"/>
    <w:rsid w:val="00F3331D"/>
    <w:rPr>
      <w:sz w:val="24"/>
      <w:szCs w:val="24"/>
    </w:rPr>
  </w:style>
  <w:style w:type="paragraph" w:customStyle="1" w:styleId="TitleSpacing">
    <w:name w:val="TitleSpacing"/>
    <w:basedOn w:val="Normal"/>
    <w:link w:val="TitleSpacingChar"/>
    <w:semiHidden/>
    <w:unhideWhenUsed/>
    <w:qFormat/>
    <w:rsid w:val="00F3331D"/>
    <w:pPr>
      <w:spacing w:before="3600"/>
    </w:pPr>
    <w:rPr>
      <w:rFonts w:cs="Arial"/>
      <w:sz w:val="24"/>
    </w:rPr>
  </w:style>
  <w:style w:type="character" w:customStyle="1" w:styleId="TitleSpacingChar">
    <w:name w:val="TitleSpacing Char"/>
    <w:link w:val="TitleSpacing"/>
    <w:semiHidden/>
    <w:rsid w:val="00F3331D"/>
    <w:rPr>
      <w:rFonts w:cs="Arial"/>
      <w:sz w:val="24"/>
      <w:szCs w:val="24"/>
    </w:rPr>
  </w:style>
  <w:style w:type="paragraph" w:customStyle="1" w:styleId="TableHeader">
    <w:name w:val="TableHeader"/>
    <w:basedOn w:val="Normal"/>
    <w:qFormat/>
    <w:rsid w:val="00F3331D"/>
    <w:pPr>
      <w:spacing w:after="0"/>
    </w:pPr>
    <w:rPr>
      <w:b/>
    </w:rPr>
  </w:style>
  <w:style w:type="character" w:customStyle="1" w:styleId="Heading1Char">
    <w:name w:val="Heading 1 Char"/>
    <w:link w:val="Heading1"/>
    <w:rsid w:val="00F3331D"/>
    <w:rPr>
      <w:b/>
      <w:color w:val="104F75"/>
      <w:sz w:val="36"/>
      <w:szCs w:val="24"/>
    </w:rPr>
  </w:style>
  <w:style w:type="character" w:customStyle="1" w:styleId="Heading2Char">
    <w:name w:val="Heading 2 Char"/>
    <w:link w:val="Heading2"/>
    <w:rsid w:val="00F3331D"/>
    <w:rPr>
      <w:b/>
      <w:color w:val="104F75"/>
      <w:sz w:val="32"/>
      <w:szCs w:val="32"/>
    </w:rPr>
  </w:style>
  <w:style w:type="character" w:customStyle="1" w:styleId="Heading3Char">
    <w:name w:val="Heading 3 Char"/>
    <w:link w:val="Heading3"/>
    <w:rsid w:val="00F3331D"/>
    <w:rPr>
      <w:b/>
      <w:bCs/>
      <w:color w:val="104F75"/>
      <w:sz w:val="28"/>
      <w:szCs w:val="28"/>
    </w:rPr>
  </w:style>
  <w:style w:type="character" w:customStyle="1" w:styleId="Heading4Char">
    <w:name w:val="Heading 4 Char"/>
    <w:link w:val="Heading4"/>
    <w:rsid w:val="00F3331D"/>
    <w:rPr>
      <w:b/>
      <w:bCs/>
      <w:color w:val="000000" w:themeColor="text1"/>
      <w:sz w:val="24"/>
      <w:szCs w:val="28"/>
    </w:rPr>
  </w:style>
  <w:style w:type="character" w:customStyle="1" w:styleId="Heading5Char">
    <w:name w:val="Heading 5 Char"/>
    <w:link w:val="Heading5"/>
    <w:semiHidden/>
    <w:rsid w:val="00F3331D"/>
    <w:rPr>
      <w:rFonts w:ascii="Calibri" w:hAnsi="Calibri"/>
      <w:b/>
      <w:bCs/>
      <w:i/>
      <w:iCs/>
      <w:sz w:val="26"/>
      <w:szCs w:val="26"/>
    </w:rPr>
  </w:style>
  <w:style w:type="character" w:customStyle="1" w:styleId="Heading6Char">
    <w:name w:val="Heading 6 Char"/>
    <w:link w:val="Heading6"/>
    <w:semiHidden/>
    <w:rsid w:val="00F3331D"/>
    <w:rPr>
      <w:rFonts w:ascii="Calibri" w:hAnsi="Calibri"/>
      <w:b/>
      <w:bCs/>
      <w:sz w:val="22"/>
      <w:szCs w:val="22"/>
    </w:rPr>
  </w:style>
  <w:style w:type="character" w:customStyle="1" w:styleId="Heading7Char">
    <w:name w:val="Heading 7 Char"/>
    <w:link w:val="Heading7"/>
    <w:semiHidden/>
    <w:rsid w:val="00F3331D"/>
    <w:rPr>
      <w:rFonts w:ascii="Calibri" w:hAnsi="Calibri"/>
      <w:sz w:val="24"/>
      <w:szCs w:val="24"/>
    </w:rPr>
  </w:style>
  <w:style w:type="character" w:customStyle="1" w:styleId="Heading8Char">
    <w:name w:val="Heading 8 Char"/>
    <w:link w:val="Heading8"/>
    <w:semiHidden/>
    <w:rsid w:val="00F3331D"/>
    <w:rPr>
      <w:rFonts w:ascii="Calibri" w:hAnsi="Calibri"/>
      <w:i/>
      <w:iCs/>
      <w:sz w:val="24"/>
      <w:szCs w:val="24"/>
    </w:rPr>
  </w:style>
  <w:style w:type="character" w:customStyle="1" w:styleId="Heading9Char">
    <w:name w:val="Heading 9 Char"/>
    <w:link w:val="Heading9"/>
    <w:semiHidden/>
    <w:rsid w:val="00F3331D"/>
    <w:rPr>
      <w:rFonts w:ascii="Cambria" w:hAnsi="Cambria"/>
      <w:sz w:val="22"/>
      <w:szCs w:val="22"/>
    </w:rPr>
  </w:style>
  <w:style w:type="paragraph" w:styleId="TOC1">
    <w:name w:val="toc 1"/>
    <w:basedOn w:val="Normal"/>
    <w:next w:val="Normal"/>
    <w:autoRedefine/>
    <w:uiPriority w:val="39"/>
    <w:unhideWhenUsed/>
    <w:qFormat/>
    <w:rsid w:val="00F3331D"/>
    <w:pPr>
      <w:tabs>
        <w:tab w:val="right" w:pos="9498"/>
      </w:tabs>
    </w:pPr>
    <w:rPr>
      <w:noProof/>
    </w:rPr>
  </w:style>
  <w:style w:type="paragraph" w:styleId="TOC2">
    <w:name w:val="toc 2"/>
    <w:basedOn w:val="Normal"/>
    <w:next w:val="Normal"/>
    <w:autoRedefine/>
    <w:uiPriority w:val="39"/>
    <w:unhideWhenUsed/>
    <w:qFormat/>
    <w:rsid w:val="00F3331D"/>
    <w:pPr>
      <w:tabs>
        <w:tab w:val="right" w:pos="9498"/>
      </w:tabs>
      <w:ind w:left="238"/>
    </w:pPr>
    <w:rPr>
      <w:noProof/>
    </w:rPr>
  </w:style>
  <w:style w:type="paragraph" w:styleId="TOC3">
    <w:name w:val="toc 3"/>
    <w:basedOn w:val="Normal"/>
    <w:next w:val="Normal"/>
    <w:autoRedefine/>
    <w:uiPriority w:val="39"/>
    <w:unhideWhenUsed/>
    <w:qFormat/>
    <w:rsid w:val="00F3331D"/>
    <w:pPr>
      <w:tabs>
        <w:tab w:val="right" w:pos="9498"/>
      </w:tabs>
      <w:ind w:left="480"/>
    </w:pPr>
    <w:rPr>
      <w:noProof/>
    </w:rPr>
  </w:style>
  <w:style w:type="paragraph" w:styleId="Caption">
    <w:name w:val="caption"/>
    <w:basedOn w:val="Normal"/>
    <w:next w:val="Normal"/>
    <w:unhideWhenUsed/>
    <w:qFormat/>
    <w:rsid w:val="00F3331D"/>
    <w:pPr>
      <w:spacing w:before="120" w:after="120"/>
      <w:jc w:val="center"/>
    </w:pPr>
    <w:rPr>
      <w:b/>
      <w:bCs/>
      <w:color w:val="000000" w:themeColor="text1"/>
      <w:sz w:val="20"/>
      <w:szCs w:val="20"/>
    </w:rPr>
  </w:style>
  <w:style w:type="paragraph" w:styleId="Title">
    <w:name w:val="Title"/>
    <w:basedOn w:val="Normal"/>
    <w:next w:val="Normal"/>
    <w:link w:val="TitleChar"/>
    <w:unhideWhenUsed/>
    <w:qFormat/>
    <w:rsid w:val="00F3331D"/>
    <w:pPr>
      <w:spacing w:before="240" w:line="240" w:lineRule="auto"/>
    </w:pPr>
    <w:rPr>
      <w:rFonts w:cs="Arial"/>
      <w:b/>
      <w:color w:val="104F75"/>
      <w:sz w:val="96"/>
      <w:szCs w:val="120"/>
    </w:rPr>
  </w:style>
  <w:style w:type="character" w:customStyle="1" w:styleId="TitleChar">
    <w:name w:val="Title Char"/>
    <w:link w:val="Title"/>
    <w:rsid w:val="00F3331D"/>
    <w:rPr>
      <w:rFonts w:cs="Arial"/>
      <w:b/>
      <w:color w:val="104F75"/>
      <w:sz w:val="96"/>
      <w:szCs w:val="120"/>
    </w:rPr>
  </w:style>
  <w:style w:type="character" w:styleId="Hyperlink">
    <w:name w:val="Hyperlink"/>
    <w:uiPriority w:val="99"/>
    <w:unhideWhenUsed/>
    <w:qFormat/>
    <w:rsid w:val="00F3331D"/>
    <w:rPr>
      <w:rFonts w:ascii="Arial" w:hAnsi="Arial"/>
      <w:color w:val="0000FF"/>
      <w:sz w:val="24"/>
      <w:u w:val="single"/>
    </w:rPr>
  </w:style>
  <w:style w:type="paragraph" w:styleId="ListParagraph">
    <w:name w:val="List Paragraph"/>
    <w:basedOn w:val="Normal"/>
    <w:uiPriority w:val="34"/>
    <w:qFormat/>
    <w:rsid w:val="00F3331D"/>
    <w:pPr>
      <w:numPr>
        <w:numId w:val="6"/>
      </w:numPr>
      <w:spacing w:after="240"/>
    </w:pPr>
  </w:style>
  <w:style w:type="paragraph" w:styleId="TOCHeading">
    <w:name w:val="TOC Heading"/>
    <w:basedOn w:val="Normal"/>
    <w:next w:val="Normal"/>
    <w:uiPriority w:val="39"/>
    <w:semiHidden/>
    <w:unhideWhenUsed/>
    <w:qFormat/>
    <w:rsid w:val="00F3331D"/>
    <w:pPr>
      <w:pageBreakBefore/>
    </w:pPr>
    <w:rPr>
      <w:rFonts w:cs="Arial"/>
      <w:b/>
      <w:color w:val="365F91"/>
      <w:sz w:val="36"/>
      <w:szCs w:val="28"/>
      <w:lang w:eastAsia="ja-JP"/>
    </w:rPr>
  </w:style>
  <w:style w:type="paragraph" w:styleId="PlainText">
    <w:name w:val="Plain Text"/>
    <w:basedOn w:val="Normal"/>
    <w:link w:val="PlainTextChar"/>
    <w:uiPriority w:val="99"/>
    <w:unhideWhenUsed/>
    <w:rsid w:val="00C1189B"/>
    <w:pPr>
      <w:spacing w:after="0" w:line="240" w:lineRule="auto"/>
    </w:pPr>
    <w:rPr>
      <w:rFonts w:eastAsiaTheme="minorHAnsi" w:cstheme="minorBidi"/>
      <w:sz w:val="24"/>
      <w:szCs w:val="21"/>
    </w:rPr>
  </w:style>
  <w:style w:type="character" w:customStyle="1" w:styleId="PlainTextChar">
    <w:name w:val="Plain Text Char"/>
    <w:basedOn w:val="DefaultParagraphFont"/>
    <w:link w:val="PlainText"/>
    <w:uiPriority w:val="99"/>
    <w:rsid w:val="00C1189B"/>
    <w:rPr>
      <w:rFonts w:eastAsiaTheme="minorHAnsi" w:cstheme="minorBidi"/>
      <w:sz w:val="24"/>
      <w:szCs w:val="21"/>
    </w:rPr>
  </w:style>
  <w:style w:type="paragraph" w:customStyle="1" w:styleId="Default">
    <w:name w:val="Default"/>
    <w:rsid w:val="00095C0C"/>
    <w:pPr>
      <w:autoSpaceDE w:val="0"/>
      <w:autoSpaceDN w:val="0"/>
      <w:adjustRightInd w:val="0"/>
    </w:pPr>
    <w:rPr>
      <w:rFonts w:ascii="Helvetica Neue" w:hAnsi="Helvetica Neue" w:cs="Helvetica Neue"/>
      <w:color w:val="000000"/>
      <w:sz w:val="24"/>
      <w:szCs w:val="24"/>
    </w:rPr>
  </w:style>
  <w:style w:type="paragraph" w:customStyle="1" w:styleId="DeptBullets">
    <w:name w:val="DeptBullets"/>
    <w:basedOn w:val="Normal"/>
    <w:rsid w:val="00E3785D"/>
    <w:pPr>
      <w:numPr>
        <w:numId w:val="10"/>
      </w:numPr>
    </w:pPr>
  </w:style>
  <w:style w:type="character" w:styleId="CommentReference">
    <w:name w:val="annotation reference"/>
    <w:basedOn w:val="DefaultParagraphFont"/>
    <w:uiPriority w:val="99"/>
    <w:semiHidden/>
    <w:unhideWhenUsed/>
    <w:rsid w:val="00AA30C0"/>
    <w:rPr>
      <w:sz w:val="16"/>
      <w:szCs w:val="16"/>
    </w:rPr>
  </w:style>
  <w:style w:type="paragraph" w:styleId="CommentText">
    <w:name w:val="annotation text"/>
    <w:basedOn w:val="Normal"/>
    <w:link w:val="CommentTextChar"/>
    <w:uiPriority w:val="99"/>
    <w:semiHidden/>
    <w:unhideWhenUsed/>
    <w:rsid w:val="00AA30C0"/>
    <w:pPr>
      <w:spacing w:line="240" w:lineRule="auto"/>
    </w:pPr>
    <w:rPr>
      <w:sz w:val="20"/>
      <w:szCs w:val="20"/>
    </w:rPr>
  </w:style>
  <w:style w:type="character" w:customStyle="1" w:styleId="CommentTextChar">
    <w:name w:val="Comment Text Char"/>
    <w:basedOn w:val="DefaultParagraphFont"/>
    <w:link w:val="CommentText"/>
    <w:uiPriority w:val="99"/>
    <w:semiHidden/>
    <w:rsid w:val="00AA30C0"/>
  </w:style>
  <w:style w:type="paragraph" w:styleId="CommentSubject">
    <w:name w:val="annotation subject"/>
    <w:basedOn w:val="CommentText"/>
    <w:next w:val="CommentText"/>
    <w:link w:val="CommentSubjectChar"/>
    <w:uiPriority w:val="99"/>
    <w:semiHidden/>
    <w:unhideWhenUsed/>
    <w:rsid w:val="00AA30C0"/>
    <w:rPr>
      <w:b/>
      <w:bCs/>
    </w:rPr>
  </w:style>
  <w:style w:type="character" w:customStyle="1" w:styleId="CommentSubjectChar">
    <w:name w:val="Comment Subject Char"/>
    <w:basedOn w:val="CommentTextChar"/>
    <w:link w:val="CommentSubject"/>
    <w:uiPriority w:val="99"/>
    <w:semiHidden/>
    <w:rsid w:val="00AA30C0"/>
    <w:rPr>
      <w:b/>
      <w:bCs/>
    </w:rPr>
  </w:style>
  <w:style w:type="paragraph" w:styleId="BalloonText">
    <w:name w:val="Balloon Text"/>
    <w:basedOn w:val="Normal"/>
    <w:link w:val="BalloonTextChar"/>
    <w:uiPriority w:val="99"/>
    <w:semiHidden/>
    <w:unhideWhenUsed/>
    <w:rsid w:val="00AA3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C0"/>
    <w:rPr>
      <w:rFonts w:ascii="Tahoma" w:hAnsi="Tahoma" w:cs="Tahoma"/>
      <w:sz w:val="16"/>
      <w:szCs w:val="16"/>
    </w:rPr>
  </w:style>
  <w:style w:type="paragraph" w:customStyle="1" w:styleId="DfESOutNumbered">
    <w:name w:val="DfESOutNumbered"/>
    <w:basedOn w:val="Normal"/>
    <w:link w:val="DfESOutNumberedChar"/>
    <w:rsid w:val="0091239A"/>
    <w:pPr>
      <w:widowControl w:val="0"/>
      <w:numPr>
        <w:numId w:val="16"/>
      </w:numPr>
      <w:overflowPunct w:val="0"/>
      <w:autoSpaceDE w:val="0"/>
      <w:autoSpaceDN w:val="0"/>
      <w:adjustRightInd w:val="0"/>
      <w:spacing w:after="240" w:line="240" w:lineRule="auto"/>
      <w:textAlignment w:val="baseline"/>
    </w:pPr>
    <w:rPr>
      <w:rFonts w:cs="Arial"/>
      <w:szCs w:val="20"/>
    </w:rPr>
  </w:style>
  <w:style w:type="character" w:customStyle="1" w:styleId="DfESOutNumberedChar">
    <w:name w:val="DfESOutNumbered Char"/>
    <w:basedOn w:val="DefaultParagraphFont"/>
    <w:link w:val="DfESOutNumbered"/>
    <w:rsid w:val="0091239A"/>
    <w:rPr>
      <w:rFonts w:cs="Arial"/>
      <w:sz w:val="22"/>
    </w:rPr>
  </w:style>
  <w:style w:type="character" w:styleId="FollowedHyperlink">
    <w:name w:val="FollowedHyperlink"/>
    <w:basedOn w:val="DefaultParagraphFont"/>
    <w:uiPriority w:val="99"/>
    <w:semiHidden/>
    <w:unhideWhenUsed/>
    <w:rsid w:val="00FB4F90"/>
    <w:rPr>
      <w:color w:val="800080" w:themeColor="followedHyperlink"/>
      <w:u w:val="single"/>
    </w:rPr>
  </w:style>
  <w:style w:type="paragraph" w:styleId="Revision">
    <w:name w:val="Revision"/>
    <w:hidden/>
    <w:uiPriority w:val="99"/>
    <w:semiHidden/>
    <w:rsid w:val="00427F0C"/>
    <w:rPr>
      <w:sz w:val="22"/>
      <w:szCs w:val="24"/>
    </w:rPr>
  </w:style>
  <w:style w:type="paragraph" w:styleId="Header">
    <w:name w:val="header"/>
    <w:basedOn w:val="Normal"/>
    <w:link w:val="HeaderChar"/>
    <w:uiPriority w:val="99"/>
    <w:unhideWhenUsed/>
    <w:rsid w:val="00B72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841"/>
    <w:rPr>
      <w:sz w:val="22"/>
      <w:szCs w:val="24"/>
    </w:rPr>
  </w:style>
  <w:style w:type="paragraph" w:styleId="Footer">
    <w:name w:val="footer"/>
    <w:basedOn w:val="Normal"/>
    <w:link w:val="FooterChar"/>
    <w:uiPriority w:val="99"/>
    <w:unhideWhenUsed/>
    <w:rsid w:val="00B72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84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4225">
      <w:bodyDiv w:val="1"/>
      <w:marLeft w:val="0"/>
      <w:marRight w:val="0"/>
      <w:marTop w:val="0"/>
      <w:marBottom w:val="0"/>
      <w:divBdr>
        <w:top w:val="none" w:sz="0" w:space="0" w:color="auto"/>
        <w:left w:val="none" w:sz="0" w:space="0" w:color="auto"/>
        <w:bottom w:val="none" w:sz="0" w:space="0" w:color="auto"/>
        <w:right w:val="none" w:sz="0" w:space="0" w:color="auto"/>
      </w:divBdr>
    </w:div>
    <w:div w:id="569198236">
      <w:bodyDiv w:val="1"/>
      <w:marLeft w:val="0"/>
      <w:marRight w:val="0"/>
      <w:marTop w:val="0"/>
      <w:marBottom w:val="0"/>
      <w:divBdr>
        <w:top w:val="none" w:sz="0" w:space="0" w:color="auto"/>
        <w:left w:val="none" w:sz="0" w:space="0" w:color="auto"/>
        <w:bottom w:val="none" w:sz="0" w:space="0" w:color="auto"/>
        <w:right w:val="none" w:sz="0" w:space="0" w:color="auto"/>
      </w:divBdr>
    </w:div>
    <w:div w:id="676464175">
      <w:bodyDiv w:val="1"/>
      <w:marLeft w:val="0"/>
      <w:marRight w:val="0"/>
      <w:marTop w:val="0"/>
      <w:marBottom w:val="0"/>
      <w:divBdr>
        <w:top w:val="none" w:sz="0" w:space="0" w:color="auto"/>
        <w:left w:val="none" w:sz="0" w:space="0" w:color="auto"/>
        <w:bottom w:val="none" w:sz="0" w:space="0" w:color="auto"/>
        <w:right w:val="none" w:sz="0" w:space="0" w:color="auto"/>
      </w:divBdr>
    </w:div>
    <w:div w:id="1152135285">
      <w:bodyDiv w:val="1"/>
      <w:marLeft w:val="0"/>
      <w:marRight w:val="0"/>
      <w:marTop w:val="0"/>
      <w:marBottom w:val="0"/>
      <w:divBdr>
        <w:top w:val="none" w:sz="0" w:space="0" w:color="auto"/>
        <w:left w:val="none" w:sz="0" w:space="0" w:color="auto"/>
        <w:bottom w:val="none" w:sz="0" w:space="0" w:color="auto"/>
        <w:right w:val="none" w:sz="0" w:space="0" w:color="auto"/>
      </w:divBdr>
    </w:div>
    <w:div w:id="1185360214">
      <w:bodyDiv w:val="1"/>
      <w:marLeft w:val="0"/>
      <w:marRight w:val="0"/>
      <w:marTop w:val="0"/>
      <w:marBottom w:val="0"/>
      <w:divBdr>
        <w:top w:val="none" w:sz="0" w:space="0" w:color="auto"/>
        <w:left w:val="none" w:sz="0" w:space="0" w:color="auto"/>
        <w:bottom w:val="none" w:sz="0" w:space="0" w:color="auto"/>
        <w:right w:val="none" w:sz="0" w:space="0" w:color="auto"/>
      </w:divBdr>
    </w:div>
    <w:div w:id="1336691892">
      <w:bodyDiv w:val="1"/>
      <w:marLeft w:val="0"/>
      <w:marRight w:val="0"/>
      <w:marTop w:val="0"/>
      <w:marBottom w:val="0"/>
      <w:divBdr>
        <w:top w:val="none" w:sz="0" w:space="0" w:color="auto"/>
        <w:left w:val="none" w:sz="0" w:space="0" w:color="auto"/>
        <w:bottom w:val="none" w:sz="0" w:space="0" w:color="auto"/>
        <w:right w:val="none" w:sz="0" w:space="0" w:color="auto"/>
      </w:divBdr>
    </w:div>
    <w:div w:id="16984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nnel-guidance" TargetMode="External"/><Relationship Id="rId13" Type="http://schemas.openxmlformats.org/officeDocument/2006/relationships/hyperlink" Target="https://www.judiciary.gov.uk/wp-content/uploads/2015/10/pfd-guidance-radicalisation-cases.pdf" TargetMode="External"/><Relationship Id="rId18" Type="http://schemas.openxmlformats.org/officeDocument/2006/relationships/hyperlink" Target="https://www.judiciary.gov.uk/judgments/london-borough-of-tower-hamlets-v-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hyperlink" Target="https://www.judiciary.gov.uk/wp-content/uploads/2015/08/re-x-and-y-no2.pdf" TargetMode="External"/><Relationship Id="rId2" Type="http://schemas.openxmlformats.org/officeDocument/2006/relationships/numbering" Target="numbering.xml"/><Relationship Id="rId16" Type="http://schemas.openxmlformats.org/officeDocument/2006/relationships/hyperlink" Target="https://www.judiciary.gov.uk/judgments/in-the-matter-of-m-children-wardship-jurisdiction-and-use-of-super-injun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afeguarding-practitioners-information-sharing-advice" TargetMode="External"/><Relationship Id="rId5" Type="http://schemas.openxmlformats.org/officeDocument/2006/relationships/webSettings" Target="webSettings.xml"/><Relationship Id="rId15" Type="http://schemas.openxmlformats.org/officeDocument/2006/relationships/hyperlink" Target="http://www.familylawweek.co.uk/site.aspx?i=ed145920" TargetMode="External"/><Relationship Id="rId10" Type="http://schemas.openxmlformats.org/officeDocument/2006/relationships/hyperlink" Target="https://www.gov.uk/government/uploads/system/uploads/attachment_data/file/419595/Working_Together_to_Safeguard_Childr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diciary.gov.uk/wp-content/uploads/2015/10/pfd-guidance-radicalisation-cases.pdf" TargetMode="External"/><Relationship Id="rId14" Type="http://schemas.openxmlformats.org/officeDocument/2006/relationships/hyperlink" Target="https://www.judiciary.gov.uk/judgments/between-the-london-borough-of-tower-hamlets-and-m-and-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E2BE3-1586-4A56-82B1-2492642E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2556</Words>
  <Characters>14571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MAJEWSKA, Liz</dc:creator>
  <cp:lastModifiedBy>Emma Allen</cp:lastModifiedBy>
  <cp:revision>2</cp:revision>
  <cp:lastPrinted>2015-11-06T17:40:00Z</cp:lastPrinted>
  <dcterms:created xsi:type="dcterms:W3CDTF">2015-11-17T10:02:00Z</dcterms:created>
  <dcterms:modified xsi:type="dcterms:W3CDTF">2015-11-17T10:02:00Z</dcterms:modified>
</cp:coreProperties>
</file>